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99D84">
      <w:pPr>
        <w:spacing w:line="368" w:lineRule="auto"/>
        <w:rPr>
          <w:rFonts w:ascii="Arial"/>
          <w:sz w:val="21"/>
        </w:rPr>
      </w:pPr>
    </w:p>
    <w:p w14:paraId="0357E0D5">
      <w:pPr>
        <w:pStyle w:val="2"/>
        <w:spacing w:before="101" w:line="226" w:lineRule="auto"/>
        <w:ind w:left="3379"/>
        <w:outlineLvl w:val="0"/>
        <w:rPr>
          <w:sz w:val="31"/>
          <w:szCs w:val="31"/>
        </w:rPr>
      </w:pPr>
      <w:r>
        <w:rPr>
          <w:b/>
          <w:bCs/>
          <w:spacing w:val="5"/>
          <w:sz w:val="31"/>
          <w:szCs w:val="31"/>
        </w:rPr>
        <w:t>招标邀请函</w:t>
      </w:r>
    </w:p>
    <w:p w14:paraId="5D3C8F44">
      <w:pPr>
        <w:spacing w:line="438" w:lineRule="auto"/>
        <w:rPr>
          <w:rFonts w:ascii="Arial"/>
          <w:sz w:val="21"/>
        </w:rPr>
      </w:pPr>
    </w:p>
    <w:p w14:paraId="771794AC">
      <w:pPr>
        <w:pStyle w:val="2"/>
        <w:spacing w:before="78" w:line="219" w:lineRule="auto"/>
        <w:ind w:left="24"/>
      </w:pPr>
      <w:r>
        <w:rPr>
          <w:b/>
          <w:bCs/>
          <w:spacing w:val="-3"/>
        </w:rPr>
        <w:t>招标单位名称：</w:t>
      </w:r>
      <w:r>
        <w:rPr>
          <w:rFonts w:hint="eastAsia"/>
          <w:b/>
          <w:bCs/>
          <w:spacing w:val="-3"/>
          <w:lang w:val="en-US" w:eastAsia="zh-CN"/>
        </w:rPr>
        <w:t>武汉新威奇机械</w:t>
      </w:r>
      <w:r>
        <w:rPr>
          <w:b/>
          <w:bCs/>
          <w:spacing w:val="-3"/>
        </w:rPr>
        <w:t>有限公司</w:t>
      </w:r>
    </w:p>
    <w:p w14:paraId="3B2CED5E">
      <w:pPr>
        <w:spacing w:line="260" w:lineRule="auto"/>
        <w:rPr>
          <w:rFonts w:ascii="Arial"/>
          <w:sz w:val="21"/>
        </w:rPr>
      </w:pPr>
    </w:p>
    <w:p w14:paraId="4E1C296F">
      <w:pPr>
        <w:pStyle w:val="2"/>
        <w:spacing w:before="78" w:line="346" w:lineRule="auto"/>
        <w:ind w:left="22" w:right="15" w:firstLine="489"/>
      </w:pPr>
      <w:r>
        <w:t>为满足公司</w:t>
      </w:r>
      <w:r>
        <w:rPr>
          <w:rFonts w:hint="eastAsia"/>
          <w:lang w:val="en-US" w:eastAsia="zh-CN"/>
        </w:rPr>
        <w:t>万吨级重型伺服直驱电动螺旋压力</w:t>
      </w:r>
      <w:r>
        <w:t>的</w:t>
      </w:r>
      <w:r>
        <w:rPr>
          <w:rFonts w:hint="eastAsia"/>
          <w:lang w:val="en-US" w:eastAsia="zh-CN"/>
        </w:rPr>
        <w:t>制造</w:t>
      </w:r>
      <w:r>
        <w:t>需求，拟对</w:t>
      </w:r>
      <w:r>
        <w:rPr>
          <w:u w:val="single" w:color="auto"/>
        </w:rPr>
        <w:t xml:space="preserve"> </w:t>
      </w:r>
      <w:r>
        <w:rPr>
          <w:rFonts w:hint="eastAsia"/>
          <w:u w:val="single" w:color="auto"/>
          <w:lang w:eastAsia="zh-CN"/>
        </w:rPr>
        <w:t>J58ZK-</w:t>
      </w:r>
      <w:r>
        <w:rPr>
          <w:rFonts w:hint="eastAsia"/>
          <w:u w:val="single" w:color="auto"/>
          <w:lang w:val="en-US" w:eastAsia="zh-CN"/>
        </w:rPr>
        <w:t>100</w:t>
      </w:r>
      <w:r>
        <w:rPr>
          <w:u w:val="single" w:color="auto"/>
        </w:rPr>
        <w:t xml:space="preserve">00 </w:t>
      </w:r>
      <w:r>
        <w:rPr>
          <w:rFonts w:hint="eastAsia"/>
          <w:u w:val="single" w:color="auto"/>
          <w:lang w:val="en-US" w:eastAsia="zh-CN"/>
        </w:rPr>
        <w:t>伺服</w:t>
      </w:r>
      <w:r>
        <w:rPr>
          <w:u w:val="single" w:color="auto"/>
        </w:rPr>
        <w:t>直驱式数控电动螺旋压力</w:t>
      </w:r>
      <w:r>
        <w:rPr>
          <w:spacing w:val="-3"/>
          <w:u w:val="single" w:color="auto"/>
        </w:rPr>
        <w:t>机</w:t>
      </w:r>
      <w:r>
        <w:rPr>
          <w:rFonts w:hint="eastAsia"/>
          <w:spacing w:val="-3"/>
          <w:u w:val="single" w:color="auto"/>
          <w:lang w:val="en-US" w:eastAsia="zh-CN"/>
        </w:rPr>
        <w:t>铸锻件</w:t>
      </w:r>
      <w:r>
        <w:rPr>
          <w:spacing w:val="-3"/>
        </w:rPr>
        <w:t xml:space="preserve"> 进行招标，诚邀贵单位前来投标。</w:t>
      </w:r>
    </w:p>
    <w:p w14:paraId="3A473610">
      <w:pPr>
        <w:pStyle w:val="2"/>
        <w:spacing w:before="191" w:line="467" w:lineRule="auto"/>
        <w:ind w:left="23" w:right="1930"/>
      </w:pPr>
      <w:r>
        <w:rPr>
          <w:spacing w:val="-9"/>
        </w:rPr>
        <w:t>招标时间：</w:t>
      </w:r>
      <w:r>
        <w:rPr>
          <w:b/>
          <w:bCs/>
          <w:spacing w:val="-9"/>
          <w:u w:val="single" w:color="auto"/>
        </w:rPr>
        <w:t>202</w:t>
      </w:r>
      <w:r>
        <w:rPr>
          <w:rFonts w:hint="eastAsia"/>
          <w:b/>
          <w:bCs/>
          <w:spacing w:val="-9"/>
          <w:u w:val="single" w:color="auto"/>
          <w:lang w:val="en-US" w:eastAsia="zh-CN"/>
        </w:rPr>
        <w:t>4</w:t>
      </w:r>
      <w:r>
        <w:rPr>
          <w:spacing w:val="-44"/>
          <w:u w:val="single" w:color="auto"/>
        </w:rPr>
        <w:t xml:space="preserve"> </w:t>
      </w:r>
      <w:r>
        <w:rPr>
          <w:b/>
          <w:bCs/>
          <w:spacing w:val="-9"/>
          <w:u w:val="single" w:color="auto"/>
        </w:rPr>
        <w:t>年</w:t>
      </w:r>
      <w:r>
        <w:rPr>
          <w:spacing w:val="-49"/>
          <w:u w:val="single" w:color="auto"/>
        </w:rPr>
        <w:t xml:space="preserve"> </w:t>
      </w:r>
      <w:r>
        <w:rPr>
          <w:rFonts w:hint="eastAsia"/>
          <w:b/>
          <w:bCs/>
          <w:spacing w:val="-9"/>
          <w:u w:val="single" w:color="auto"/>
          <w:lang w:val="en-US" w:eastAsia="zh-CN"/>
        </w:rPr>
        <w:t xml:space="preserve">1 </w:t>
      </w:r>
      <w:r>
        <w:rPr>
          <w:b/>
          <w:bCs/>
          <w:spacing w:val="-9"/>
          <w:u w:val="single" w:color="auto"/>
        </w:rPr>
        <w:t>月</w:t>
      </w:r>
      <w:r>
        <w:rPr>
          <w:rFonts w:hint="eastAsia"/>
          <w:b/>
          <w:bCs/>
          <w:spacing w:val="-9"/>
          <w:u w:val="single" w:color="auto"/>
          <w:lang w:val="en-US" w:eastAsia="zh-CN"/>
        </w:rPr>
        <w:t xml:space="preserve"> 12</w:t>
      </w:r>
      <w:r>
        <w:rPr>
          <w:b/>
          <w:bCs/>
          <w:spacing w:val="-9"/>
          <w:u w:val="single" w:color="auto"/>
        </w:rPr>
        <w:t>日</w:t>
      </w:r>
      <w:r>
        <w:rPr>
          <w:spacing w:val="-9"/>
          <w:u w:val="single" w:color="auto"/>
        </w:rPr>
        <w:t xml:space="preserve"> </w:t>
      </w:r>
      <w:r>
        <w:rPr>
          <w:b/>
          <w:bCs/>
          <w:spacing w:val="-9"/>
          <w:u w:val="single" w:color="auto"/>
        </w:rPr>
        <w:t>-</w:t>
      </w:r>
      <w:r>
        <w:rPr>
          <w:spacing w:val="-9"/>
          <w:u w:val="single" w:color="auto"/>
        </w:rPr>
        <w:t xml:space="preserve"> </w:t>
      </w:r>
      <w:r>
        <w:rPr>
          <w:b/>
          <w:bCs/>
          <w:spacing w:val="-9"/>
          <w:u w:val="single" w:color="auto"/>
        </w:rPr>
        <w:t>202</w:t>
      </w:r>
      <w:r>
        <w:rPr>
          <w:rFonts w:hint="eastAsia"/>
          <w:b/>
          <w:bCs/>
          <w:spacing w:val="-9"/>
          <w:u w:val="single" w:color="auto"/>
          <w:lang w:val="en-US" w:eastAsia="zh-CN"/>
        </w:rPr>
        <w:t>5</w:t>
      </w:r>
      <w:r>
        <w:rPr>
          <w:spacing w:val="-47"/>
          <w:u w:val="single" w:color="auto"/>
        </w:rPr>
        <w:t xml:space="preserve"> </w:t>
      </w:r>
      <w:r>
        <w:rPr>
          <w:b/>
          <w:bCs/>
          <w:spacing w:val="-9"/>
          <w:u w:val="single" w:color="auto"/>
        </w:rPr>
        <w:t>年</w:t>
      </w:r>
      <w:r>
        <w:rPr>
          <w:rFonts w:hint="eastAsia"/>
          <w:spacing w:val="-51"/>
          <w:u w:val="single" w:color="auto"/>
          <w:lang w:val="en-US" w:eastAsia="zh-CN"/>
        </w:rPr>
        <w:t>2</w:t>
      </w:r>
      <w:r>
        <w:rPr>
          <w:rFonts w:hint="eastAsia"/>
          <w:b/>
          <w:bCs/>
          <w:spacing w:val="-9"/>
          <w:u w:val="single" w:color="auto"/>
          <w:lang w:val="en-US" w:eastAsia="zh-CN"/>
        </w:rPr>
        <w:t xml:space="preserve"> </w:t>
      </w:r>
      <w:r>
        <w:rPr>
          <w:b/>
          <w:bCs/>
          <w:spacing w:val="-9"/>
          <w:u w:val="single" w:color="auto"/>
        </w:rPr>
        <w:t>月</w:t>
      </w:r>
      <w:r>
        <w:rPr>
          <w:spacing w:val="-45"/>
          <w:u w:val="single" w:color="auto"/>
        </w:rPr>
        <w:t xml:space="preserve"> </w:t>
      </w:r>
      <w:r>
        <w:rPr>
          <w:rFonts w:hint="eastAsia"/>
          <w:b/>
          <w:bCs/>
          <w:spacing w:val="-45"/>
          <w:u w:val="single" w:color="auto"/>
          <w:lang w:val="en-US" w:eastAsia="zh-CN"/>
        </w:rPr>
        <w:t>10</w:t>
      </w:r>
      <w:r>
        <w:rPr>
          <w:b/>
          <w:bCs/>
          <w:spacing w:val="-9"/>
          <w:u w:val="single" w:color="auto"/>
        </w:rPr>
        <w:t>日,共计</w:t>
      </w:r>
      <w:r>
        <w:rPr>
          <w:rFonts w:hint="eastAsia"/>
          <w:b/>
          <w:bCs/>
          <w:spacing w:val="-9"/>
          <w:u w:val="single" w:color="auto"/>
          <w:lang w:val="en-US" w:eastAsia="zh-CN"/>
        </w:rPr>
        <w:t xml:space="preserve"> </w:t>
      </w:r>
      <w:r>
        <w:rPr>
          <w:rFonts w:hint="eastAsia"/>
          <w:b/>
          <w:bCs/>
          <w:spacing w:val="-43"/>
          <w:u w:val="single" w:color="auto"/>
          <w:lang w:val="en-US" w:eastAsia="zh-CN"/>
        </w:rPr>
        <w:t>30</w:t>
      </w:r>
      <w:r>
        <w:rPr>
          <w:b/>
          <w:bCs/>
          <w:spacing w:val="-9"/>
          <w:u w:val="single" w:color="auto"/>
        </w:rPr>
        <w:t>天</w:t>
      </w:r>
      <w:r>
        <w:t xml:space="preserve"> </w:t>
      </w:r>
      <w:r>
        <w:rPr>
          <w:spacing w:val="-3"/>
        </w:rPr>
        <w:t>地    址：</w:t>
      </w:r>
      <w:r>
        <w:rPr>
          <w:rFonts w:hint="eastAsia"/>
          <w:b/>
          <w:bCs/>
          <w:spacing w:val="-3"/>
          <w:u w:val="single" w:color="auto"/>
          <w:lang w:val="en-US" w:eastAsia="zh-CN"/>
        </w:rPr>
        <w:t>湖北省葛店开发区创业大道</w:t>
      </w:r>
      <w:r>
        <w:rPr>
          <w:spacing w:val="-31"/>
          <w:u w:val="single" w:color="auto"/>
        </w:rPr>
        <w:t xml:space="preserve"> </w:t>
      </w:r>
      <w:r>
        <w:rPr>
          <w:rFonts w:hint="eastAsia"/>
          <w:b/>
          <w:bCs/>
          <w:spacing w:val="-3"/>
          <w:u w:val="single" w:color="auto"/>
          <w:lang w:val="en-US" w:eastAsia="zh-CN"/>
        </w:rPr>
        <w:t>2</w:t>
      </w:r>
      <w:r>
        <w:rPr>
          <w:spacing w:val="-45"/>
          <w:u w:val="single" w:color="auto"/>
        </w:rPr>
        <w:t xml:space="preserve"> </w:t>
      </w:r>
      <w:r>
        <w:rPr>
          <w:b/>
          <w:bCs/>
          <w:spacing w:val="-3"/>
          <w:u w:val="single" w:color="auto"/>
        </w:rPr>
        <w:t>号</w:t>
      </w:r>
    </w:p>
    <w:p w14:paraId="5E2287C2">
      <w:pPr>
        <w:pStyle w:val="2"/>
        <w:spacing w:before="34" w:line="220" w:lineRule="auto"/>
        <w:ind w:left="30"/>
      </w:pPr>
      <w:r>
        <w:rPr>
          <w:spacing w:val="-2"/>
        </w:rPr>
        <w:t>开标时间：</w:t>
      </w:r>
      <w:r>
        <w:rPr>
          <w:b/>
          <w:bCs/>
          <w:spacing w:val="-2"/>
          <w:u w:val="single" w:color="auto"/>
        </w:rPr>
        <w:t>202</w:t>
      </w:r>
      <w:r>
        <w:rPr>
          <w:rFonts w:hint="eastAsia"/>
          <w:b/>
          <w:bCs/>
          <w:spacing w:val="-2"/>
          <w:u w:val="single" w:color="auto"/>
          <w:lang w:val="en-US" w:eastAsia="zh-CN"/>
        </w:rPr>
        <w:t>5</w:t>
      </w:r>
      <w:r>
        <w:rPr>
          <w:b/>
          <w:bCs/>
          <w:spacing w:val="-2"/>
          <w:u w:val="single" w:color="auto"/>
        </w:rPr>
        <w:t>.</w:t>
      </w:r>
      <w:r>
        <w:rPr>
          <w:rFonts w:hint="eastAsia"/>
          <w:b/>
          <w:bCs/>
          <w:spacing w:val="-2"/>
          <w:u w:val="single" w:color="auto"/>
          <w:lang w:val="en-US" w:eastAsia="zh-CN"/>
        </w:rPr>
        <w:t>2</w:t>
      </w:r>
      <w:r>
        <w:rPr>
          <w:b/>
          <w:bCs/>
          <w:spacing w:val="-2"/>
          <w:u w:val="single" w:color="auto"/>
        </w:rPr>
        <w:t>.</w:t>
      </w:r>
      <w:r>
        <w:rPr>
          <w:rFonts w:hint="eastAsia"/>
          <w:b/>
          <w:bCs/>
          <w:spacing w:val="-2"/>
          <w:u w:val="single" w:color="auto"/>
          <w:lang w:val="en-US" w:eastAsia="zh-CN"/>
        </w:rPr>
        <w:t>15</w:t>
      </w:r>
      <w:r>
        <w:rPr>
          <w:b/>
          <w:bCs/>
          <w:spacing w:val="-2"/>
          <w:u w:val="single" w:color="auto"/>
        </w:rPr>
        <w:t>.</w:t>
      </w:r>
      <w:r>
        <w:rPr>
          <w:spacing w:val="-2"/>
          <w:u w:val="single" w:color="auto"/>
        </w:rPr>
        <w:t xml:space="preserve"> </w:t>
      </w:r>
      <w:r>
        <w:rPr>
          <w:b/>
          <w:bCs/>
          <w:spacing w:val="-2"/>
          <w:u w:val="single" w:color="auto"/>
        </w:rPr>
        <w:t>全天</w:t>
      </w:r>
      <w:r>
        <w:rPr>
          <w:u w:val="single" w:color="auto"/>
        </w:rPr>
        <w:t xml:space="preserve">  </w:t>
      </w:r>
    </w:p>
    <w:p w14:paraId="55BB107A">
      <w:pPr>
        <w:spacing w:line="257" w:lineRule="auto"/>
        <w:rPr>
          <w:rFonts w:ascii="Arial"/>
          <w:sz w:val="21"/>
        </w:rPr>
      </w:pPr>
    </w:p>
    <w:p w14:paraId="215586AD">
      <w:pPr>
        <w:pStyle w:val="2"/>
        <w:spacing w:before="79" w:line="220" w:lineRule="auto"/>
        <w:ind w:left="24"/>
        <w:rPr>
          <w:rFonts w:hint="default" w:eastAsia="宋体"/>
          <w:u w:val="single"/>
          <w:lang w:val="en-US" w:eastAsia="zh-CN"/>
        </w:rPr>
      </w:pPr>
      <w:r>
        <w:rPr>
          <w:spacing w:val="-3"/>
        </w:rPr>
        <w:t>联 系 人：</w:t>
      </w:r>
      <w:r>
        <w:rPr>
          <w:rFonts w:hint="eastAsia"/>
          <w:spacing w:val="-3"/>
          <w:u w:val="single"/>
          <w:lang w:val="en-US" w:eastAsia="zh-CN"/>
        </w:rPr>
        <w:t xml:space="preserve"> 邓志章    18374856868                </w:t>
      </w:r>
    </w:p>
    <w:p w14:paraId="064B23AF">
      <w:pPr>
        <w:spacing w:line="414" w:lineRule="auto"/>
        <w:rPr>
          <w:rFonts w:ascii="Arial"/>
          <w:sz w:val="21"/>
        </w:rPr>
      </w:pPr>
      <w:bookmarkStart w:id="0" w:name="_GoBack"/>
      <w:bookmarkEnd w:id="0"/>
    </w:p>
    <w:p w14:paraId="57B45A65">
      <w:pPr>
        <w:pStyle w:val="2"/>
        <w:spacing w:before="78" w:line="220" w:lineRule="auto"/>
        <w:ind w:left="26"/>
        <w:outlineLvl w:val="1"/>
      </w:pPr>
      <w:r>
        <w:rPr>
          <w:b/>
          <w:bCs/>
          <w:spacing w:val="-7"/>
        </w:rPr>
        <w:t>一、投标须知</w:t>
      </w:r>
    </w:p>
    <w:p w14:paraId="6C08DA6E">
      <w:pPr>
        <w:spacing w:line="255" w:lineRule="auto"/>
        <w:rPr>
          <w:rFonts w:ascii="Arial"/>
          <w:sz w:val="21"/>
        </w:rPr>
      </w:pPr>
    </w:p>
    <w:p w14:paraId="57FDD092">
      <w:pPr>
        <w:pStyle w:val="2"/>
        <w:spacing w:before="78" w:line="355" w:lineRule="auto"/>
        <w:ind w:left="22" w:right="13" w:firstLine="498"/>
        <w:jc w:val="both"/>
      </w:pPr>
      <w:r>
        <w:rPr>
          <w:spacing w:val="-2"/>
        </w:rPr>
        <w:t>1.1</w:t>
      </w:r>
      <w:r>
        <w:rPr>
          <w:color w:val="FFFFFF" w:themeColor="background1"/>
          <w:spacing w:val="-48"/>
          <w14:textFill>
            <w14:solidFill>
              <w14:schemeClr w14:val="bg1"/>
            </w14:solidFill>
          </w14:textFill>
        </w:rPr>
        <w:t xml:space="preserve"> </w:t>
      </w:r>
      <w:r>
        <w:rPr>
          <w:rFonts w:hint="eastAsia"/>
          <w:b/>
          <w:bCs/>
          <w:color w:val="000000" w:themeColor="text1"/>
          <w:spacing w:val="-3"/>
          <w:highlight w:val="none"/>
          <w:lang w:val="en-US" w:eastAsia="zh-CN"/>
          <w14:textFill>
            <w14:solidFill>
              <w14:schemeClr w14:val="tx1"/>
            </w14:solidFill>
          </w14:textFill>
        </w:rPr>
        <w:t>武汉新威奇机械</w:t>
      </w:r>
      <w:r>
        <w:rPr>
          <w:b/>
          <w:bCs/>
          <w:color w:val="000000" w:themeColor="text1"/>
          <w:spacing w:val="-3"/>
          <w:highlight w:val="none"/>
          <w14:textFill>
            <w14:solidFill>
              <w14:schemeClr w14:val="tx1"/>
            </w14:solidFill>
          </w14:textFill>
        </w:rPr>
        <w:t>有限公司</w:t>
      </w:r>
      <w:r>
        <w:rPr>
          <w:color w:val="000000" w:themeColor="text1"/>
          <w:spacing w:val="-2"/>
          <w:highlight w:val="none"/>
          <w14:textFill>
            <w14:solidFill>
              <w14:schemeClr w14:val="tx1"/>
            </w14:solidFill>
          </w14:textFill>
        </w:rPr>
        <w:t>成立招标委员会</w:t>
      </w:r>
      <w:r>
        <w:rPr>
          <w:color w:val="FFFFFF" w:themeColor="background1"/>
          <w:spacing w:val="-2"/>
          <w14:textFill>
            <w14:solidFill>
              <w14:schemeClr w14:val="bg1"/>
            </w14:solidFill>
          </w14:textFill>
        </w:rPr>
        <w:t>，</w:t>
      </w:r>
      <w:r>
        <w:rPr>
          <w:spacing w:val="-2"/>
        </w:rPr>
        <w:t>请贵单位向</w:t>
      </w:r>
      <w:r>
        <w:rPr>
          <w:spacing w:val="-3"/>
        </w:rPr>
        <w:t>招标</w:t>
      </w:r>
      <w:r>
        <w:rPr>
          <w:spacing w:val="-4"/>
        </w:rPr>
        <w:t>委员会</w:t>
      </w:r>
      <w:r>
        <w:rPr>
          <w:rFonts w:hint="eastAsia"/>
          <w:spacing w:val="-4"/>
          <w:lang w:val="en-US" w:eastAsia="zh-CN"/>
        </w:rPr>
        <w:t>提交投标文件</w:t>
      </w:r>
      <w:r>
        <w:rPr>
          <w:spacing w:val="-4"/>
        </w:rPr>
        <w:t>。</w:t>
      </w:r>
      <w:r>
        <w:rPr>
          <w:spacing w:val="-3"/>
        </w:rPr>
        <w:t>招标委员会对投标</w:t>
      </w:r>
      <w:r>
        <w:rPr>
          <w:rFonts w:hint="eastAsia"/>
          <w:spacing w:val="-3"/>
          <w:lang w:val="en-US" w:eastAsia="zh-CN"/>
        </w:rPr>
        <w:t>文件</w:t>
      </w:r>
      <w:r>
        <w:rPr>
          <w:spacing w:val="-3"/>
        </w:rPr>
        <w:t>进行综合评比并确定意向投标单位，</w:t>
      </w:r>
      <w:r>
        <w:rPr>
          <w:rFonts w:hint="eastAsia"/>
          <w:b/>
          <w:bCs/>
          <w:spacing w:val="-3"/>
          <w:highlight w:val="none"/>
          <w:lang w:val="en-US" w:eastAsia="zh-CN"/>
        </w:rPr>
        <w:t>新威奇机械有限公司</w:t>
      </w:r>
      <w:r>
        <w:rPr>
          <w:spacing w:val="-3"/>
        </w:rPr>
        <w:t>通知意向投标单位进行商务洽谈，最终定标事宜以招标单位和投标单位双方洽谈结</w:t>
      </w:r>
      <w:r>
        <w:rPr>
          <w:spacing w:val="-2"/>
        </w:rPr>
        <w:t>论为准。招标委员会对未中标单位不做解释。</w:t>
      </w:r>
    </w:p>
    <w:p w14:paraId="71C4E12A">
      <w:pPr>
        <w:pStyle w:val="2"/>
        <w:spacing w:before="193" w:line="289" w:lineRule="auto"/>
        <w:ind w:left="23" w:right="14" w:firstLine="497"/>
      </w:pPr>
      <w:r>
        <w:rPr>
          <w:spacing w:val="-3"/>
        </w:rPr>
        <w:t xml:space="preserve">1.2 </w:t>
      </w:r>
      <w:r>
        <w:rPr>
          <w:rFonts w:hint="eastAsia"/>
          <w:spacing w:val="-3"/>
          <w:lang w:val="en-US" w:eastAsia="zh-CN"/>
        </w:rPr>
        <w:t>投标文件</w:t>
      </w:r>
      <w:r>
        <w:rPr>
          <w:spacing w:val="-3"/>
        </w:rPr>
        <w:t>包含设备厂家</w:t>
      </w:r>
      <w:r>
        <w:rPr>
          <w:spacing w:val="-3"/>
          <w:highlight w:val="none"/>
        </w:rPr>
        <w:t>介绍</w:t>
      </w:r>
      <w:r>
        <w:rPr>
          <w:rFonts w:hint="eastAsia"/>
          <w:spacing w:val="-3"/>
          <w:highlight w:val="none"/>
          <w:lang w:val="en-US" w:eastAsia="zh-CN"/>
        </w:rPr>
        <w:t>及资质</w:t>
      </w:r>
      <w:r>
        <w:rPr>
          <w:spacing w:val="-3"/>
          <w:highlight w:val="none"/>
        </w:rPr>
        <w:t>、投</w:t>
      </w:r>
      <w:r>
        <w:rPr>
          <w:spacing w:val="-3"/>
        </w:rPr>
        <w:t>标产品说明、投标方案图、投标价格、</w:t>
      </w:r>
      <w:r>
        <w:t xml:space="preserve"> </w:t>
      </w:r>
      <w:r>
        <w:rPr>
          <w:spacing w:val="-2"/>
        </w:rPr>
        <w:t>售后服务、交货周期、质保期说明和技术支持等。</w:t>
      </w:r>
    </w:p>
    <w:p w14:paraId="20E2A1B3">
      <w:pPr>
        <w:spacing w:line="259" w:lineRule="auto"/>
        <w:rPr>
          <w:rFonts w:ascii="Arial"/>
          <w:sz w:val="21"/>
        </w:rPr>
      </w:pPr>
    </w:p>
    <w:p w14:paraId="7A75860E">
      <w:pPr>
        <w:pStyle w:val="2"/>
        <w:spacing w:before="78" w:line="290" w:lineRule="auto"/>
        <w:ind w:left="24" w:right="13" w:firstLine="496"/>
      </w:pPr>
      <w:r>
        <w:rPr>
          <w:spacing w:val="-2"/>
        </w:rPr>
        <w:t>1.3</w:t>
      </w:r>
      <w:r>
        <w:rPr>
          <w:spacing w:val="-49"/>
        </w:rPr>
        <w:t xml:space="preserve"> </w:t>
      </w:r>
      <w:r>
        <w:rPr>
          <w:spacing w:val="-2"/>
        </w:rPr>
        <w:t>本次招标要求投标人须具备独立签订合同的权利和履行合同</w:t>
      </w:r>
      <w:r>
        <w:rPr>
          <w:spacing w:val="-3"/>
        </w:rPr>
        <w:t>的能力，依</w:t>
      </w:r>
      <w:r>
        <w:t xml:space="preserve"> </w:t>
      </w:r>
      <w:r>
        <w:rPr>
          <w:spacing w:val="-2"/>
        </w:rPr>
        <w:t>法取得营业执照；具备类似</w:t>
      </w:r>
      <w:r>
        <w:rPr>
          <w:rFonts w:hint="eastAsia"/>
          <w:spacing w:val="-2"/>
          <w:lang w:val="en-US" w:eastAsia="zh-CN"/>
        </w:rPr>
        <w:t>部件</w:t>
      </w:r>
      <w:r>
        <w:rPr>
          <w:spacing w:val="-2"/>
        </w:rPr>
        <w:t>的设计、制造、销售、维保能力。</w:t>
      </w:r>
    </w:p>
    <w:p w14:paraId="46FB2247">
      <w:pPr>
        <w:spacing w:line="260" w:lineRule="auto"/>
        <w:rPr>
          <w:rFonts w:ascii="Arial"/>
          <w:sz w:val="21"/>
        </w:rPr>
      </w:pPr>
    </w:p>
    <w:p w14:paraId="7502E96E">
      <w:pPr>
        <w:pStyle w:val="2"/>
        <w:spacing w:before="79" w:line="289" w:lineRule="auto"/>
        <w:ind w:left="21" w:right="12" w:firstLine="499"/>
      </w:pPr>
      <w:r>
        <w:rPr>
          <w:spacing w:val="-5"/>
        </w:rPr>
        <w:t>1.4</w:t>
      </w:r>
      <w:r>
        <w:rPr>
          <w:spacing w:val="-52"/>
        </w:rPr>
        <w:t xml:space="preserve"> </w:t>
      </w:r>
      <w:r>
        <w:rPr>
          <w:spacing w:val="-5"/>
        </w:rPr>
        <w:t>投标总报价</w:t>
      </w:r>
      <w:r>
        <w:rPr>
          <w:rFonts w:hint="eastAsia"/>
          <w:spacing w:val="-5"/>
          <w:lang w:eastAsia="zh-CN"/>
        </w:rPr>
        <w:t>为包干价</w:t>
      </w:r>
      <w:r>
        <w:rPr>
          <w:spacing w:val="-5"/>
        </w:rPr>
        <w:t>需包含</w:t>
      </w:r>
      <w:r>
        <w:rPr>
          <w:spacing w:val="-6"/>
        </w:rPr>
        <w:t>货物送达需方</w:t>
      </w:r>
      <w:r>
        <w:rPr>
          <w:rFonts w:hint="eastAsia"/>
          <w:spacing w:val="-6"/>
          <w:lang w:val="en-US" w:eastAsia="zh-CN"/>
        </w:rPr>
        <w:t>指定地点</w:t>
      </w:r>
      <w:r>
        <w:rPr>
          <w:spacing w:val="-6"/>
        </w:rPr>
        <w:t>的</w:t>
      </w:r>
      <w:r>
        <w:rPr>
          <w:spacing w:val="-3"/>
        </w:rPr>
        <w:t>运输费、</w:t>
      </w:r>
      <w:r>
        <w:rPr>
          <w:rFonts w:hint="eastAsia"/>
          <w:spacing w:val="-3"/>
          <w:lang w:eastAsia="zh-CN"/>
        </w:rPr>
        <w:t>包装费、</w:t>
      </w:r>
      <w:r>
        <w:rPr>
          <w:spacing w:val="-3"/>
        </w:rPr>
        <w:t>保险费</w:t>
      </w:r>
      <w:r>
        <w:rPr>
          <w:rFonts w:hint="eastAsia"/>
          <w:spacing w:val="-3"/>
          <w:lang w:eastAsia="zh-CN"/>
        </w:rPr>
        <w:t>及</w:t>
      </w:r>
      <w:r>
        <w:rPr>
          <w:spacing w:val="-3"/>
        </w:rPr>
        <w:t>技术支持等本次招标范围内的</w:t>
      </w:r>
      <w:r>
        <w:rPr>
          <w:spacing w:val="-1"/>
        </w:rPr>
        <w:t>所有费用。各项系统分项报价，计入总价</w:t>
      </w:r>
      <w:r>
        <w:rPr>
          <w:spacing w:val="-2"/>
        </w:rPr>
        <w:t>。</w:t>
      </w:r>
    </w:p>
    <w:p w14:paraId="56965B2D">
      <w:pPr>
        <w:spacing w:line="260" w:lineRule="auto"/>
        <w:rPr>
          <w:rFonts w:ascii="Arial"/>
          <w:sz w:val="21"/>
        </w:rPr>
      </w:pPr>
    </w:p>
    <w:p w14:paraId="3395514A">
      <w:pPr>
        <w:pStyle w:val="2"/>
        <w:spacing w:before="78" w:line="351" w:lineRule="auto"/>
        <w:ind w:left="23" w:right="13" w:firstLine="497"/>
        <w:jc w:val="both"/>
      </w:pPr>
      <w:r>
        <w:rPr>
          <w:spacing w:val="-2"/>
        </w:rPr>
        <w:t>1.5</w:t>
      </w:r>
      <w:r>
        <w:rPr>
          <w:spacing w:val="-52"/>
        </w:rPr>
        <w:t xml:space="preserve"> </w:t>
      </w:r>
      <w:r>
        <w:rPr>
          <w:spacing w:val="-2"/>
        </w:rPr>
        <w:t>投标人仔细阅读招标文件的全部条款后，按</w:t>
      </w:r>
      <w:r>
        <w:rPr>
          <w:rFonts w:hint="eastAsia"/>
          <w:spacing w:val="-2"/>
          <w:lang w:val="en-US" w:eastAsia="zh-CN"/>
        </w:rPr>
        <w:t>招</w:t>
      </w:r>
      <w:r>
        <w:rPr>
          <w:spacing w:val="-2"/>
        </w:rPr>
        <w:t>标文件编制要求认真</w:t>
      </w:r>
      <w:r>
        <w:rPr>
          <w:spacing w:val="-3"/>
        </w:rPr>
        <w:t>填写</w:t>
      </w:r>
      <w:r>
        <w:t xml:space="preserve"> </w:t>
      </w:r>
      <w:r>
        <w:rPr>
          <w:spacing w:val="-3"/>
        </w:rPr>
        <w:t>和装订投标文件，最终投标文件一正三副密封递交至</w:t>
      </w:r>
      <w:r>
        <w:rPr>
          <w:rFonts w:hint="eastAsia"/>
          <w:b/>
          <w:bCs/>
          <w:spacing w:val="-3"/>
          <w:highlight w:val="none"/>
          <w:lang w:val="en-US" w:eastAsia="zh-CN"/>
        </w:rPr>
        <w:t>武汉新威奇机械</w:t>
      </w:r>
      <w:r>
        <w:rPr>
          <w:b/>
          <w:bCs/>
          <w:spacing w:val="-3"/>
          <w:highlight w:val="none"/>
        </w:rPr>
        <w:t>有限公司</w:t>
      </w:r>
      <w:r>
        <w:rPr>
          <w:spacing w:val="-6"/>
        </w:rPr>
        <w:t>招标委员会。</w:t>
      </w:r>
    </w:p>
    <w:p w14:paraId="6628D488">
      <w:pPr>
        <w:spacing w:line="351" w:lineRule="auto"/>
        <w:sectPr>
          <w:pgSz w:w="11907" w:h="16839"/>
          <w:pgMar w:top="1431" w:right="1785" w:bottom="0" w:left="1785" w:header="0" w:footer="0" w:gutter="0"/>
          <w:cols w:space="720" w:num="1"/>
        </w:sectPr>
      </w:pPr>
    </w:p>
    <w:p w14:paraId="4E227381">
      <w:pPr>
        <w:pStyle w:val="2"/>
        <w:spacing w:before="123" w:line="289" w:lineRule="auto"/>
        <w:ind w:left="28" w:right="12" w:firstLine="492"/>
        <w:rPr>
          <w:highlight w:val="none"/>
        </w:rPr>
      </w:pPr>
      <w:r>
        <w:rPr>
          <w:spacing w:val="-4"/>
          <w:highlight w:val="none"/>
        </w:rPr>
        <w:t>1.6</w:t>
      </w:r>
      <w:r>
        <w:rPr>
          <w:spacing w:val="-48"/>
          <w:highlight w:val="none"/>
        </w:rPr>
        <w:t xml:space="preserve"> </w:t>
      </w:r>
      <w:r>
        <w:rPr>
          <w:spacing w:val="-4"/>
          <w:highlight w:val="none"/>
        </w:rPr>
        <w:t>提供所投类型产品近</w:t>
      </w:r>
      <w:r>
        <w:rPr>
          <w:rFonts w:hint="eastAsia"/>
          <w:spacing w:val="-4"/>
          <w:highlight w:val="none"/>
          <w:lang w:val="en-US" w:eastAsia="zh-CN"/>
        </w:rPr>
        <w:t>三</w:t>
      </w:r>
      <w:r>
        <w:rPr>
          <w:spacing w:val="-4"/>
          <w:highlight w:val="none"/>
        </w:rPr>
        <w:t>年（202</w:t>
      </w:r>
      <w:r>
        <w:rPr>
          <w:rFonts w:hint="eastAsia"/>
          <w:spacing w:val="-4"/>
          <w:highlight w:val="none"/>
          <w:lang w:val="en-US" w:eastAsia="zh-CN"/>
        </w:rPr>
        <w:t>1</w:t>
      </w:r>
      <w:r>
        <w:rPr>
          <w:spacing w:val="-49"/>
          <w:highlight w:val="none"/>
        </w:rPr>
        <w:t xml:space="preserve"> </w:t>
      </w:r>
      <w:r>
        <w:rPr>
          <w:spacing w:val="-4"/>
          <w:highlight w:val="none"/>
        </w:rPr>
        <w:t>年至今）同行业用户业绩表，以</w:t>
      </w:r>
      <w:r>
        <w:rPr>
          <w:spacing w:val="-2"/>
          <w:highlight w:val="none"/>
        </w:rPr>
        <w:t>合同复印件</w:t>
      </w:r>
      <w:r>
        <w:rPr>
          <w:rFonts w:hint="eastAsia"/>
          <w:spacing w:val="-2"/>
          <w:highlight w:val="none"/>
          <w:lang w:val="en-US" w:eastAsia="zh-CN"/>
        </w:rPr>
        <w:t>及专用发票</w:t>
      </w:r>
      <w:r>
        <w:rPr>
          <w:spacing w:val="-2"/>
          <w:highlight w:val="none"/>
        </w:rPr>
        <w:t>为准，并提供相关业绩列表，标明名称、合同号。</w:t>
      </w:r>
    </w:p>
    <w:p w14:paraId="1B18F5B5">
      <w:pPr>
        <w:spacing w:line="259" w:lineRule="auto"/>
        <w:rPr>
          <w:rFonts w:ascii="Arial"/>
          <w:sz w:val="21"/>
        </w:rPr>
      </w:pPr>
    </w:p>
    <w:p w14:paraId="67FDEB8D">
      <w:pPr>
        <w:pStyle w:val="2"/>
        <w:spacing w:before="78" w:line="290" w:lineRule="auto"/>
        <w:ind w:left="24" w:right="14" w:firstLine="496"/>
      </w:pPr>
      <w:r>
        <w:rPr>
          <w:spacing w:val="-1"/>
        </w:rPr>
        <w:t>1.7</w:t>
      </w:r>
      <w:r>
        <w:rPr>
          <w:spacing w:val="-38"/>
        </w:rPr>
        <w:t xml:space="preserve"> </w:t>
      </w:r>
      <w:r>
        <w:rPr>
          <w:spacing w:val="-1"/>
        </w:rPr>
        <w:t>若投标方有适应</w:t>
      </w:r>
      <w:r>
        <w:rPr>
          <w:rFonts w:hint="eastAsia"/>
          <w:spacing w:val="-1"/>
          <w:highlight w:val="none"/>
          <w:lang w:val="en-US" w:eastAsia="zh-CN"/>
        </w:rPr>
        <w:t>新威奇机械有限公司</w:t>
      </w:r>
      <w:r>
        <w:rPr>
          <w:spacing w:val="-1"/>
        </w:rPr>
        <w:t>需求的优化方案，</w:t>
      </w:r>
      <w:r>
        <w:rPr>
          <w:spacing w:val="-2"/>
        </w:rPr>
        <w:t>可在评标时用</w:t>
      </w:r>
      <w:r>
        <w:rPr>
          <w:spacing w:val="-41"/>
        </w:rPr>
        <w:t xml:space="preserve"> </w:t>
      </w:r>
      <w:r>
        <w:rPr>
          <w:spacing w:val="-2"/>
        </w:rPr>
        <w:t>PPT</w:t>
      </w:r>
      <w:r>
        <w:t xml:space="preserve"> </w:t>
      </w:r>
      <w:r>
        <w:rPr>
          <w:spacing w:val="-3"/>
        </w:rPr>
        <w:t>方式详细讲解说明相关技术指标及优势。</w:t>
      </w:r>
    </w:p>
    <w:p w14:paraId="5CBFD7DA">
      <w:pPr>
        <w:spacing w:line="413" w:lineRule="auto"/>
        <w:rPr>
          <w:rFonts w:ascii="Arial"/>
          <w:sz w:val="21"/>
        </w:rPr>
      </w:pPr>
    </w:p>
    <w:p w14:paraId="505F1139">
      <w:pPr>
        <w:pStyle w:val="2"/>
        <w:spacing w:before="78" w:line="220" w:lineRule="auto"/>
        <w:ind w:left="27"/>
        <w:outlineLvl w:val="1"/>
      </w:pPr>
      <w:r>
        <w:rPr>
          <w:b/>
          <w:bCs/>
          <w:spacing w:val="-3"/>
        </w:rPr>
        <w:t>二、投标文件编制要求内容</w:t>
      </w:r>
    </w:p>
    <w:p w14:paraId="46A2B928">
      <w:pPr>
        <w:spacing w:line="259" w:lineRule="auto"/>
        <w:rPr>
          <w:rFonts w:ascii="Arial"/>
          <w:sz w:val="21"/>
        </w:rPr>
      </w:pPr>
    </w:p>
    <w:p w14:paraId="34F4AA58">
      <w:pPr>
        <w:pStyle w:val="2"/>
        <w:spacing w:before="78" w:line="218" w:lineRule="auto"/>
        <w:ind w:left="497"/>
      </w:pPr>
      <w:r>
        <w:rPr>
          <w:spacing w:val="-3"/>
        </w:rPr>
        <w:t>2.1</w:t>
      </w:r>
      <w:r>
        <w:rPr>
          <w:spacing w:val="-44"/>
        </w:rPr>
        <w:t xml:space="preserve"> </w:t>
      </w:r>
      <w:r>
        <w:rPr>
          <w:spacing w:val="-3"/>
        </w:rPr>
        <w:t>投标价格一览表</w:t>
      </w:r>
    </w:p>
    <w:p w14:paraId="220B7073">
      <w:pPr>
        <w:spacing w:line="261" w:lineRule="auto"/>
        <w:rPr>
          <w:rFonts w:ascii="Arial"/>
          <w:sz w:val="21"/>
        </w:rPr>
      </w:pPr>
    </w:p>
    <w:p w14:paraId="22F85FF6">
      <w:pPr>
        <w:pStyle w:val="2"/>
        <w:spacing w:before="78" w:line="219" w:lineRule="auto"/>
        <w:ind w:left="506"/>
      </w:pPr>
      <w:r>
        <w:rPr>
          <w:spacing w:val="-3"/>
        </w:rPr>
        <w:t>2.2</w:t>
      </w:r>
      <w:r>
        <w:rPr>
          <w:spacing w:val="-44"/>
        </w:rPr>
        <w:t xml:space="preserve"> </w:t>
      </w:r>
      <w:r>
        <w:rPr>
          <w:spacing w:val="-3"/>
        </w:rPr>
        <w:t>货物说明一览表</w:t>
      </w:r>
    </w:p>
    <w:p w14:paraId="4342A036">
      <w:pPr>
        <w:spacing w:line="259" w:lineRule="auto"/>
        <w:rPr>
          <w:rFonts w:ascii="Arial"/>
          <w:sz w:val="21"/>
        </w:rPr>
      </w:pPr>
    </w:p>
    <w:p w14:paraId="5985BCFE">
      <w:pPr>
        <w:pStyle w:val="2"/>
        <w:spacing w:before="78" w:line="220" w:lineRule="auto"/>
        <w:ind w:left="506"/>
      </w:pPr>
      <w:r>
        <w:rPr>
          <w:spacing w:val="-2"/>
        </w:rPr>
        <w:t>2.3</w:t>
      </w:r>
      <w:r>
        <w:rPr>
          <w:spacing w:val="-47"/>
        </w:rPr>
        <w:t xml:space="preserve"> </w:t>
      </w:r>
      <w:r>
        <w:rPr>
          <w:spacing w:val="-2"/>
        </w:rPr>
        <w:t>技术规格响应/偏离表</w:t>
      </w:r>
    </w:p>
    <w:p w14:paraId="1F015F82">
      <w:pPr>
        <w:spacing w:line="258" w:lineRule="auto"/>
        <w:rPr>
          <w:rFonts w:ascii="Arial"/>
          <w:sz w:val="21"/>
        </w:rPr>
      </w:pPr>
    </w:p>
    <w:p w14:paraId="081DDFEC">
      <w:pPr>
        <w:pStyle w:val="2"/>
        <w:spacing w:before="78" w:line="220" w:lineRule="auto"/>
        <w:ind w:left="506"/>
      </w:pPr>
      <w:r>
        <w:rPr>
          <w:spacing w:val="-2"/>
        </w:rPr>
        <w:t>2.4</w:t>
      </w:r>
      <w:r>
        <w:rPr>
          <w:spacing w:val="-47"/>
        </w:rPr>
        <w:t xml:space="preserve"> </w:t>
      </w:r>
      <w:r>
        <w:rPr>
          <w:spacing w:val="-2"/>
        </w:rPr>
        <w:t>商务条款响应/偏离表</w:t>
      </w:r>
    </w:p>
    <w:p w14:paraId="49C52BA8">
      <w:pPr>
        <w:spacing w:line="258" w:lineRule="auto"/>
        <w:rPr>
          <w:rFonts w:ascii="Arial"/>
          <w:sz w:val="21"/>
        </w:rPr>
      </w:pPr>
    </w:p>
    <w:p w14:paraId="5A4213B2">
      <w:pPr>
        <w:pStyle w:val="2"/>
        <w:spacing w:before="78" w:line="219" w:lineRule="auto"/>
        <w:ind w:left="506"/>
      </w:pPr>
      <w:r>
        <w:rPr>
          <w:spacing w:val="-2"/>
        </w:rPr>
        <w:t>2.5</w:t>
      </w:r>
      <w:r>
        <w:rPr>
          <w:spacing w:val="-50"/>
        </w:rPr>
        <w:t xml:space="preserve"> </w:t>
      </w:r>
      <w:r>
        <w:rPr>
          <w:spacing w:val="-2"/>
        </w:rPr>
        <w:t>项目负责人授权书</w:t>
      </w:r>
    </w:p>
    <w:p w14:paraId="133AFF4D">
      <w:pPr>
        <w:spacing w:line="259" w:lineRule="auto"/>
        <w:rPr>
          <w:rFonts w:ascii="Arial"/>
          <w:sz w:val="21"/>
        </w:rPr>
      </w:pPr>
    </w:p>
    <w:p w14:paraId="658ACC24">
      <w:pPr>
        <w:pStyle w:val="2"/>
        <w:spacing w:before="79" w:line="220" w:lineRule="auto"/>
        <w:ind w:left="506"/>
      </w:pPr>
      <w:r>
        <w:rPr>
          <w:spacing w:val="-4"/>
        </w:rPr>
        <w:t>2.6</w:t>
      </w:r>
      <w:r>
        <w:rPr>
          <w:spacing w:val="-35"/>
        </w:rPr>
        <w:t xml:space="preserve"> </w:t>
      </w:r>
      <w:r>
        <w:rPr>
          <w:spacing w:val="-4"/>
        </w:rPr>
        <w:t>资质文件证明</w:t>
      </w:r>
    </w:p>
    <w:p w14:paraId="1F483F76">
      <w:pPr>
        <w:spacing w:line="258" w:lineRule="auto"/>
        <w:rPr>
          <w:rFonts w:ascii="Arial"/>
          <w:sz w:val="21"/>
        </w:rPr>
      </w:pPr>
    </w:p>
    <w:p w14:paraId="3F34193C">
      <w:pPr>
        <w:pStyle w:val="2"/>
        <w:spacing w:before="78" w:line="220" w:lineRule="auto"/>
        <w:ind w:left="506"/>
        <w:rPr>
          <w:rFonts w:hint="eastAsia" w:eastAsia="宋体"/>
          <w:highlight w:val="none"/>
          <w:lang w:eastAsia="zh-CN"/>
        </w:rPr>
      </w:pPr>
      <w:r>
        <w:rPr>
          <w:spacing w:val="-4"/>
        </w:rPr>
        <w:t>2.7</w:t>
      </w:r>
      <w:r>
        <w:rPr>
          <w:spacing w:val="-43"/>
        </w:rPr>
        <w:t xml:space="preserve"> </w:t>
      </w:r>
      <w:r>
        <w:rPr>
          <w:spacing w:val="-4"/>
        </w:rPr>
        <w:t>近</w:t>
      </w:r>
      <w:r>
        <w:rPr>
          <w:rFonts w:hint="eastAsia"/>
          <w:spacing w:val="-48"/>
          <w:lang w:val="en-US" w:eastAsia="zh-CN"/>
        </w:rPr>
        <w:t>3</w:t>
      </w:r>
      <w:r>
        <w:rPr>
          <w:spacing w:val="-49"/>
        </w:rPr>
        <w:t xml:space="preserve"> </w:t>
      </w:r>
      <w:r>
        <w:rPr>
          <w:spacing w:val="-4"/>
        </w:rPr>
        <w:t>年同类产品业</w:t>
      </w:r>
      <w:r>
        <w:rPr>
          <w:spacing w:val="-4"/>
          <w:highlight w:val="none"/>
        </w:rPr>
        <w:t>绩表</w:t>
      </w:r>
      <w:r>
        <w:rPr>
          <w:rFonts w:hint="eastAsia"/>
          <w:spacing w:val="-4"/>
          <w:highlight w:val="none"/>
          <w:lang w:eastAsia="zh-CN"/>
        </w:rPr>
        <w:t>（</w:t>
      </w:r>
      <w:r>
        <w:rPr>
          <w:rFonts w:hint="eastAsia"/>
          <w:spacing w:val="-4"/>
          <w:highlight w:val="none"/>
          <w:lang w:val="en-US" w:eastAsia="zh-CN"/>
        </w:rPr>
        <w:t>铸造单件重量能力需覆盖标的物重量要求或者压力机型号8000吨以上业绩至少2份</w:t>
      </w:r>
      <w:r>
        <w:rPr>
          <w:rFonts w:hint="eastAsia"/>
          <w:spacing w:val="-4"/>
          <w:highlight w:val="none"/>
          <w:lang w:eastAsia="zh-CN"/>
        </w:rPr>
        <w:t>）</w:t>
      </w:r>
    </w:p>
    <w:p w14:paraId="054B35BA">
      <w:pPr>
        <w:spacing w:line="258" w:lineRule="auto"/>
        <w:rPr>
          <w:rFonts w:ascii="Arial"/>
          <w:sz w:val="21"/>
        </w:rPr>
      </w:pPr>
    </w:p>
    <w:p w14:paraId="50C77FD9">
      <w:pPr>
        <w:pStyle w:val="2"/>
        <w:spacing w:before="79" w:line="220" w:lineRule="auto"/>
        <w:ind w:left="506"/>
        <w:rPr>
          <w:rFonts w:hint="eastAsia" w:eastAsia="宋体"/>
          <w:lang w:eastAsia="zh-CN"/>
        </w:rPr>
      </w:pPr>
      <w:r>
        <w:rPr>
          <w:spacing w:val="-4"/>
        </w:rPr>
        <w:t>2.8</w:t>
      </w:r>
      <w:r>
        <w:rPr>
          <w:spacing w:val="-47"/>
        </w:rPr>
        <w:t xml:space="preserve"> </w:t>
      </w:r>
      <w:r>
        <w:rPr>
          <w:spacing w:val="-4"/>
        </w:rPr>
        <w:t>近</w:t>
      </w:r>
      <w:r>
        <w:rPr>
          <w:rFonts w:hint="eastAsia"/>
          <w:spacing w:val="-48"/>
          <w:lang w:val="en-US" w:eastAsia="zh-CN"/>
        </w:rPr>
        <w:t>3</w:t>
      </w:r>
      <w:r>
        <w:rPr>
          <w:spacing w:val="-49"/>
        </w:rPr>
        <w:t xml:space="preserve"> </w:t>
      </w:r>
      <w:r>
        <w:rPr>
          <w:spacing w:val="-4"/>
        </w:rPr>
        <w:t>年公司财务报表</w:t>
      </w:r>
      <w:r>
        <w:rPr>
          <w:rFonts w:hint="eastAsia"/>
          <w:spacing w:val="-4"/>
          <w:lang w:eastAsia="zh-CN"/>
        </w:rPr>
        <w:t>（</w:t>
      </w:r>
      <w:r>
        <w:rPr>
          <w:rFonts w:hint="eastAsia"/>
          <w:spacing w:val="-4"/>
          <w:lang w:val="en-US" w:eastAsia="zh-CN"/>
        </w:rPr>
        <w:t>第三方审计报告</w:t>
      </w:r>
      <w:r>
        <w:rPr>
          <w:rFonts w:hint="eastAsia"/>
          <w:spacing w:val="-4"/>
          <w:lang w:eastAsia="zh-CN"/>
        </w:rPr>
        <w:t>）</w:t>
      </w:r>
    </w:p>
    <w:p w14:paraId="4F4166AE">
      <w:pPr>
        <w:spacing w:line="414" w:lineRule="auto"/>
        <w:rPr>
          <w:rFonts w:ascii="Arial"/>
          <w:sz w:val="21"/>
        </w:rPr>
      </w:pPr>
    </w:p>
    <w:p w14:paraId="03C64A7A">
      <w:pPr>
        <w:pStyle w:val="2"/>
        <w:spacing w:before="78" w:line="220" w:lineRule="auto"/>
        <w:ind w:left="22"/>
        <w:outlineLvl w:val="1"/>
      </w:pPr>
      <w:r>
        <w:rPr>
          <w:b/>
          <w:bCs/>
          <w:spacing w:val="-7"/>
        </w:rPr>
        <w:t>三、招标原则</w:t>
      </w:r>
    </w:p>
    <w:p w14:paraId="11651819">
      <w:pPr>
        <w:spacing w:line="258" w:lineRule="auto"/>
        <w:rPr>
          <w:rFonts w:ascii="Arial"/>
          <w:sz w:val="21"/>
        </w:rPr>
      </w:pPr>
    </w:p>
    <w:p w14:paraId="415C4DEE">
      <w:pPr>
        <w:pStyle w:val="2"/>
        <w:spacing w:before="79" w:line="220" w:lineRule="auto"/>
        <w:ind w:left="508"/>
      </w:pPr>
      <w:r>
        <w:rPr>
          <w:spacing w:val="-6"/>
        </w:rPr>
        <w:t>3.1</w:t>
      </w:r>
      <w:r>
        <w:rPr>
          <w:spacing w:val="-35"/>
        </w:rPr>
        <w:t xml:space="preserve"> </w:t>
      </w:r>
      <w:r>
        <w:rPr>
          <w:spacing w:val="-6"/>
        </w:rPr>
        <w:t>公开、公正、公平的原则；</w:t>
      </w:r>
    </w:p>
    <w:p w14:paraId="59B0E88F">
      <w:pPr>
        <w:spacing w:line="258" w:lineRule="auto"/>
        <w:rPr>
          <w:rFonts w:ascii="Arial"/>
          <w:sz w:val="21"/>
        </w:rPr>
      </w:pPr>
    </w:p>
    <w:p w14:paraId="6F5F93E2">
      <w:pPr>
        <w:pStyle w:val="2"/>
        <w:spacing w:before="78" w:line="218" w:lineRule="auto"/>
        <w:ind w:right="33"/>
        <w:jc w:val="right"/>
      </w:pPr>
      <w:r>
        <w:rPr>
          <w:spacing w:val="-2"/>
        </w:rPr>
        <w:t>3.2</w:t>
      </w:r>
      <w:r>
        <w:rPr>
          <w:spacing w:val="-52"/>
        </w:rPr>
        <w:t xml:space="preserve"> </w:t>
      </w:r>
      <w:r>
        <w:rPr>
          <w:spacing w:val="-2"/>
        </w:rPr>
        <w:t>对产品的质量、售后、性价比、交货周期、企业信</w:t>
      </w:r>
      <w:r>
        <w:rPr>
          <w:spacing w:val="-3"/>
        </w:rPr>
        <w:t>誉等方面进行评选；</w:t>
      </w:r>
    </w:p>
    <w:p w14:paraId="29F2CD1E">
      <w:pPr>
        <w:spacing w:line="260" w:lineRule="auto"/>
        <w:rPr>
          <w:rFonts w:ascii="Arial"/>
          <w:sz w:val="21"/>
        </w:rPr>
      </w:pPr>
    </w:p>
    <w:p w14:paraId="1DF63145">
      <w:pPr>
        <w:pStyle w:val="2"/>
        <w:spacing w:before="79" w:line="219" w:lineRule="auto"/>
        <w:ind w:left="508"/>
      </w:pPr>
      <w:r>
        <w:rPr>
          <w:spacing w:val="-4"/>
        </w:rPr>
        <w:t>3.3</w:t>
      </w:r>
      <w:r>
        <w:rPr>
          <w:spacing w:val="-46"/>
        </w:rPr>
        <w:t xml:space="preserve"> </w:t>
      </w:r>
      <w:r>
        <w:rPr>
          <w:spacing w:val="-4"/>
        </w:rPr>
        <w:t>具体投标要求见附件</w:t>
      </w:r>
      <w:r>
        <w:rPr>
          <w:spacing w:val="-33"/>
        </w:rPr>
        <w:t xml:space="preserve"> </w:t>
      </w:r>
      <w:r>
        <w:rPr>
          <w:spacing w:val="-4"/>
        </w:rPr>
        <w:t>1。</w:t>
      </w:r>
    </w:p>
    <w:p w14:paraId="255799D0">
      <w:pPr>
        <w:spacing w:line="219" w:lineRule="auto"/>
        <w:sectPr>
          <w:pgSz w:w="11907" w:h="16839"/>
          <w:pgMar w:top="1431" w:right="1785" w:bottom="0" w:left="1785" w:header="0" w:footer="0" w:gutter="0"/>
          <w:cols w:space="720" w:num="1"/>
        </w:sectPr>
      </w:pPr>
    </w:p>
    <w:p w14:paraId="10F01F6D">
      <w:pPr>
        <w:pStyle w:val="2"/>
        <w:spacing w:before="121" w:line="219" w:lineRule="auto"/>
        <w:ind w:left="42"/>
      </w:pPr>
      <w:r>
        <w:rPr>
          <w:spacing w:val="-14"/>
        </w:rPr>
        <w:t>附件</w:t>
      </w:r>
      <w:r>
        <w:rPr>
          <w:spacing w:val="-33"/>
        </w:rPr>
        <w:t xml:space="preserve"> </w:t>
      </w:r>
      <w:r>
        <w:rPr>
          <w:spacing w:val="-14"/>
        </w:rPr>
        <w:t>1：</w:t>
      </w:r>
    </w:p>
    <w:p w14:paraId="1B09AF28">
      <w:pPr>
        <w:pStyle w:val="2"/>
        <w:spacing w:before="241" w:line="221" w:lineRule="auto"/>
        <w:ind w:left="28"/>
        <w:outlineLvl w:val="1"/>
        <w:rPr>
          <w:sz w:val="28"/>
          <w:szCs w:val="28"/>
          <w:highlight w:val="none"/>
        </w:rPr>
      </w:pPr>
      <w:r>
        <w:rPr>
          <w:b/>
          <w:bCs/>
          <w:spacing w:val="-8"/>
          <w:sz w:val="28"/>
          <w:szCs w:val="28"/>
          <w:highlight w:val="none"/>
        </w:rPr>
        <w:t>一、标的物</w:t>
      </w:r>
    </w:p>
    <w:p w14:paraId="7E0760EC">
      <w:pPr>
        <w:pStyle w:val="2"/>
        <w:spacing w:before="230" w:line="219" w:lineRule="auto"/>
        <w:ind w:left="506"/>
        <w:jc w:val="both"/>
        <w:rPr>
          <w:rFonts w:hint="eastAsia"/>
          <w:highlight w:val="none"/>
          <w:lang w:val="en-US" w:eastAsia="zh-CN"/>
        </w:rPr>
      </w:pPr>
      <w:r>
        <w:rPr>
          <w:rFonts w:hint="eastAsia"/>
          <w:highlight w:val="none"/>
          <w:lang w:val="en-US" w:eastAsia="zh-CN"/>
        </w:rPr>
        <w:t>标一：J58ZK-10000 机身上横梁（含木模、铸件毛坯及精加工）</w:t>
      </w:r>
    </w:p>
    <w:p w14:paraId="584C5421">
      <w:pPr>
        <w:pStyle w:val="2"/>
        <w:spacing w:before="230" w:line="219" w:lineRule="auto"/>
        <w:ind w:firstLine="480"/>
        <w:jc w:val="both"/>
        <w:rPr>
          <w:rFonts w:hint="eastAsia"/>
          <w:highlight w:val="none"/>
          <w:lang w:val="en-US" w:eastAsia="zh-CN"/>
        </w:rPr>
      </w:pPr>
      <w:r>
        <w:rPr>
          <w:rFonts w:hint="eastAsia"/>
          <w:highlight w:val="none"/>
          <w:lang w:val="en-US" w:eastAsia="zh-CN"/>
        </w:rPr>
        <w:t>标二：J58ZK-10000 机身底座（含木模、铸件毛坯及精加工）</w:t>
      </w:r>
    </w:p>
    <w:p w14:paraId="3E7B3DE5">
      <w:pPr>
        <w:pStyle w:val="2"/>
        <w:spacing w:before="230" w:line="219" w:lineRule="auto"/>
        <w:ind w:left="506"/>
        <w:jc w:val="both"/>
        <w:rPr>
          <w:rFonts w:hint="eastAsia"/>
          <w:highlight w:val="none"/>
          <w:lang w:val="en-US" w:eastAsia="zh-CN"/>
        </w:rPr>
      </w:pPr>
      <w:r>
        <w:rPr>
          <w:rFonts w:hint="eastAsia"/>
          <w:highlight w:val="none"/>
          <w:lang w:val="en-US" w:eastAsia="zh-CN"/>
        </w:rPr>
        <w:t>标三：J58ZK-10000 机身立柱 2 件（含木模、铸件毛坯及精加工）</w:t>
      </w:r>
    </w:p>
    <w:p w14:paraId="5872FB1A">
      <w:pPr>
        <w:pStyle w:val="2"/>
        <w:spacing w:before="230" w:line="219" w:lineRule="auto"/>
        <w:ind w:firstLine="480" w:firstLineChars="200"/>
        <w:jc w:val="both"/>
        <w:rPr>
          <w:rFonts w:hint="default"/>
          <w:highlight w:val="none"/>
          <w:lang w:val="en-US" w:eastAsia="zh-CN"/>
        </w:rPr>
      </w:pPr>
      <w:r>
        <w:rPr>
          <w:rFonts w:hint="eastAsia"/>
          <w:highlight w:val="none"/>
          <w:lang w:val="en-US" w:eastAsia="zh-CN"/>
        </w:rPr>
        <w:t>标四：1.J58ZK-10000 滑块(含木模、铸件毛坯及精加工）</w:t>
      </w:r>
    </w:p>
    <w:p w14:paraId="0A88501A">
      <w:pPr>
        <w:pStyle w:val="2"/>
        <w:spacing w:before="230" w:line="219" w:lineRule="auto"/>
        <w:ind w:firstLine="1200" w:firstLineChars="500"/>
        <w:rPr>
          <w:rFonts w:hint="eastAsia"/>
          <w:highlight w:val="none"/>
          <w:lang w:val="en-US" w:eastAsia="zh-CN"/>
        </w:rPr>
      </w:pPr>
      <w:r>
        <w:rPr>
          <w:rFonts w:hint="eastAsia"/>
          <w:highlight w:val="none"/>
          <w:lang w:val="en-US" w:eastAsia="zh-CN"/>
        </w:rPr>
        <w:t>2.J58ZK-10000 飞轮、轮毂、飞轮压圈共3件 （含木模、铸件毛坯</w:t>
      </w:r>
    </w:p>
    <w:p w14:paraId="77092FC0">
      <w:pPr>
        <w:pStyle w:val="2"/>
        <w:spacing w:before="230" w:line="219" w:lineRule="auto"/>
        <w:ind w:left="1677" w:leftChars="570" w:hanging="480" w:hangingChars="200"/>
        <w:rPr>
          <w:rFonts w:hint="eastAsia"/>
          <w:highlight w:val="none"/>
          <w:lang w:val="en-US" w:eastAsia="zh-CN"/>
        </w:rPr>
      </w:pPr>
      <w:r>
        <w:rPr>
          <w:rFonts w:hint="eastAsia"/>
          <w:highlight w:val="none"/>
          <w:lang w:val="en-US" w:eastAsia="zh-CN"/>
        </w:rPr>
        <w:t>及精加工）</w:t>
      </w:r>
    </w:p>
    <w:p w14:paraId="6EC1F568">
      <w:pPr>
        <w:pStyle w:val="2"/>
        <w:spacing w:before="230" w:line="219" w:lineRule="auto"/>
        <w:ind w:firstLine="482" w:firstLineChars="200"/>
        <w:rPr>
          <w:rFonts w:hint="default"/>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要求每个标的物分项报价+总价</w:t>
      </w:r>
    </w:p>
    <w:p w14:paraId="28A76495">
      <w:pPr>
        <w:pStyle w:val="2"/>
        <w:spacing w:before="242" w:line="220" w:lineRule="auto"/>
        <w:ind w:left="29"/>
        <w:outlineLvl w:val="1"/>
        <w:rPr>
          <w:sz w:val="28"/>
          <w:szCs w:val="28"/>
          <w:highlight w:val="none"/>
        </w:rPr>
      </w:pPr>
      <w:r>
        <w:rPr>
          <w:b/>
          <w:bCs/>
          <w:spacing w:val="-4"/>
          <w:sz w:val="28"/>
          <w:szCs w:val="28"/>
          <w:highlight w:val="none"/>
        </w:rPr>
        <w:t>二、主要技术要求</w:t>
      </w:r>
    </w:p>
    <w:p w14:paraId="50B8EC6A">
      <w:pPr>
        <w:pStyle w:val="2"/>
        <w:spacing w:before="231" w:line="220" w:lineRule="auto"/>
        <w:outlineLvl w:val="2"/>
        <w:rPr>
          <w:b/>
          <w:bCs/>
          <w:spacing w:val="-6"/>
          <w:highlight w:val="none"/>
        </w:rPr>
      </w:pPr>
      <w:r>
        <w:rPr>
          <w:b/>
          <w:bCs/>
          <w:spacing w:val="-6"/>
          <w:highlight w:val="none"/>
        </w:rPr>
        <w:t>1、技术参数</w:t>
      </w:r>
    </w:p>
    <w:p w14:paraId="102D3453">
      <w:pPr>
        <w:pStyle w:val="2"/>
        <w:spacing w:before="231" w:line="220" w:lineRule="auto"/>
        <w:outlineLvl w:val="2"/>
        <w:rPr>
          <w:b/>
          <w:bCs/>
          <w:spacing w:val="-6"/>
          <w:highlight w:val="yellow"/>
        </w:rPr>
      </w:pPr>
    </w:p>
    <w:tbl>
      <w:tblPr>
        <w:tblStyle w:val="5"/>
        <w:tblW w:w="924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8"/>
        <w:gridCol w:w="1538"/>
        <w:gridCol w:w="1410"/>
        <w:gridCol w:w="500"/>
        <w:gridCol w:w="1272"/>
        <w:gridCol w:w="2489"/>
        <w:gridCol w:w="1532"/>
      </w:tblGrid>
      <w:tr w14:paraId="59180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B6F7458">
            <w:pPr>
              <w:keepNext w:val="0"/>
              <w:keepLines w:val="0"/>
              <w:widowControl/>
              <w:suppressLineNumbers w:val="0"/>
              <w:spacing w:before="0" w:beforeAutospacing="0" w:after="0" w:afterAutospacing="0"/>
              <w:ind w:left="0" w:right="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序号</w:t>
            </w:r>
          </w:p>
        </w:tc>
        <w:tc>
          <w:tcPr>
            <w:tcW w:w="153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71404F4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名称</w:t>
            </w:r>
          </w:p>
        </w:tc>
        <w:tc>
          <w:tcPr>
            <w:tcW w:w="141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54AED903">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材料</w:t>
            </w:r>
          </w:p>
        </w:tc>
        <w:tc>
          <w:tcPr>
            <w:tcW w:w="5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48FC8E29">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数量</w:t>
            </w:r>
          </w:p>
        </w:tc>
        <w:tc>
          <w:tcPr>
            <w:tcW w:w="127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1815CF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铸件单重/T</w:t>
            </w:r>
          </w:p>
        </w:tc>
        <w:tc>
          <w:tcPr>
            <w:tcW w:w="24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4B3D1312">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外形尺寸（长宽高）/mm</w:t>
            </w:r>
          </w:p>
        </w:tc>
        <w:tc>
          <w:tcPr>
            <w:tcW w:w="153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430D4C73">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备注</w:t>
            </w:r>
          </w:p>
        </w:tc>
      </w:tr>
      <w:tr w14:paraId="23A36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5BC70AA0">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9228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4DD6F2B2">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上横梁</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D0E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AFE6">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2ABCA">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242.51</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F19E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5230×3560×3360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D4D69">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451CA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7D51DA60">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2</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EA90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78D667E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下底座</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97A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F78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76CFA">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240.80</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6539">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7100×5430×2450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0C83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7C251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09CF5F54">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3</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4042C">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7928E2A0">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左立柱</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DC1D">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3496">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8395">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91.97</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4BFC">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1420×3560×6000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C7F1A">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4D442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7AA6AB73">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4</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DEAC8">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65AB5AD7">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右立柱</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40C40">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15F27">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2757">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91.97</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0B04">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1420×3560×6000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A4C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53365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2039724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5</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391A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Z10000T滑块</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1D751">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9E489">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07857">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88.56</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119B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2250×4540×3455</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0A5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0E5C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4035437F">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6</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58298">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Z10000T飞轮</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3FF1">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ZG270-500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D2A6">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02196">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37.13</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96770">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4440×</w:t>
            </w: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1840×500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D83D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784D1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084A2D26">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7</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9C081">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4D029F2E">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飞轮轮毂</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E94AE">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ZG310-570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AF5EC">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7C9D">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19.43</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2F2C">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3020×</w:t>
            </w: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880×920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47D02">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r w14:paraId="7E268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055EFCC7">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8</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6B80E">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snapToGrid w:val="0"/>
                <w:color w:val="000000"/>
                <w:kern w:val="0"/>
                <w:sz w:val="24"/>
                <w:szCs w:val="24"/>
                <w:u w:val="none"/>
                <w:lang w:val="en-US" w:eastAsia="zh-CN" w:bidi="ar"/>
              </w:rPr>
            </w:pPr>
            <w:r>
              <w:rPr>
                <w:rFonts w:hint="eastAsia" w:ascii="黑体" w:hAnsi="宋体" w:eastAsia="黑体" w:cs="黑体"/>
                <w:i w:val="0"/>
                <w:iCs w:val="0"/>
                <w:snapToGrid w:val="0"/>
                <w:color w:val="000000"/>
                <w:kern w:val="0"/>
                <w:sz w:val="24"/>
                <w:szCs w:val="24"/>
                <w:u w:val="none"/>
                <w:lang w:val="en-US" w:eastAsia="zh-CN" w:bidi="ar"/>
              </w:rPr>
              <w:t>Z10000T</w:t>
            </w:r>
          </w:p>
          <w:p w14:paraId="4F88C281">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飞轮压圈</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C940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ZG310-570</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F2E0E">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2BE6">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snapToGrid w:val="0"/>
                <w:color w:val="000000"/>
                <w:kern w:val="0"/>
                <w:sz w:val="24"/>
                <w:szCs w:val="24"/>
                <w:u w:val="none"/>
                <w:lang w:val="en-US" w:eastAsia="zh-CN" w:bidi="ar"/>
              </w:rPr>
              <w:t>20.15</w:t>
            </w: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CF8BA">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3020×</w:t>
            </w:r>
            <w:r>
              <w:rPr>
                <w:rFonts w:ascii="Calibri" w:hAnsi="Calibri" w:eastAsia="黑体" w:cs="Calibri"/>
                <w:i w:val="0"/>
                <w:iCs w:val="0"/>
                <w:snapToGrid w:val="0"/>
                <w:color w:val="000000"/>
                <w:kern w:val="0"/>
                <w:sz w:val="24"/>
                <w:szCs w:val="24"/>
                <w:u w:val="none"/>
                <w:lang w:val="en-US" w:eastAsia="zh-CN" w:bidi="ar"/>
              </w:rPr>
              <w:t>φ</w:t>
            </w:r>
            <w:r>
              <w:rPr>
                <w:rFonts w:hint="eastAsia" w:ascii="黑体" w:hAnsi="宋体" w:eastAsia="黑体" w:cs="黑体"/>
                <w:i w:val="0"/>
                <w:iCs w:val="0"/>
                <w:snapToGrid w:val="0"/>
                <w:color w:val="000000"/>
                <w:kern w:val="0"/>
                <w:sz w:val="24"/>
                <w:szCs w:val="24"/>
                <w:u w:val="none"/>
                <w:lang w:val="en-US" w:eastAsia="zh-CN" w:bidi="ar"/>
              </w:rPr>
              <w:t>1410×1210</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70CBE">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snapToGrid w:val="0"/>
                <w:color w:val="000000"/>
                <w:kern w:val="0"/>
                <w:sz w:val="24"/>
                <w:szCs w:val="24"/>
                <w:u w:val="none"/>
                <w:lang w:val="en-US" w:eastAsia="zh-CN" w:bidi="ar"/>
              </w:rPr>
              <w:t>最终以图纸尺寸为准</w:t>
            </w:r>
          </w:p>
        </w:tc>
      </w:tr>
    </w:tbl>
    <w:p w14:paraId="74F7FD95">
      <w:pPr>
        <w:pStyle w:val="2"/>
        <w:spacing w:before="231" w:line="220" w:lineRule="auto"/>
        <w:outlineLvl w:val="2"/>
        <w:rPr>
          <w:b/>
          <w:bCs/>
          <w:spacing w:val="-6"/>
          <w:highlight w:val="yellow"/>
        </w:rPr>
      </w:pPr>
    </w:p>
    <w:p w14:paraId="302D20EA">
      <w:pPr>
        <w:rPr>
          <w:rFonts w:hint="eastAsia"/>
          <w:b/>
          <w:bCs/>
          <w:spacing w:val="-6"/>
          <w:highlight w:val="yellow"/>
          <w:lang w:val="en-US" w:eastAsia="zh-CN"/>
        </w:rPr>
      </w:pPr>
      <w:r>
        <w:rPr>
          <w:rFonts w:hint="eastAsia"/>
          <w:b/>
          <w:bCs/>
          <w:spacing w:val="-6"/>
          <w:highlight w:val="yellow"/>
          <w:lang w:val="en-US" w:eastAsia="zh-CN"/>
        </w:rPr>
        <w:br w:type="page"/>
      </w:r>
    </w:p>
    <w:p w14:paraId="0AEE4534">
      <w:pPr>
        <w:pStyle w:val="2"/>
        <w:numPr>
          <w:ilvl w:val="0"/>
          <w:numId w:val="1"/>
        </w:numPr>
        <w:spacing w:before="231" w:line="220" w:lineRule="auto"/>
        <w:outlineLvl w:val="2"/>
        <w:rPr>
          <w:rFonts w:hint="eastAsia" w:ascii="等线" w:hAnsi="等线" w:eastAsia="等线" w:cs="等线"/>
          <w:i w:val="0"/>
          <w:iCs w:val="0"/>
          <w:snapToGrid w:val="0"/>
          <w:color w:val="000000"/>
          <w:kern w:val="0"/>
          <w:sz w:val="20"/>
          <w:szCs w:val="20"/>
          <w:u w:val="none"/>
          <w:lang w:val="en-US" w:eastAsia="zh-CN" w:bidi="ar"/>
        </w:rPr>
      </w:pPr>
      <w:r>
        <w:rPr>
          <w:rFonts w:hint="eastAsia"/>
          <w:b/>
          <w:bCs/>
          <w:spacing w:val="-6"/>
          <w:highlight w:val="yellow"/>
          <w:lang w:val="en-US" w:eastAsia="zh-CN"/>
        </w:rPr>
        <w:t>交货要求</w:t>
      </w:r>
    </w:p>
    <w:p w14:paraId="5DAEF77D">
      <w:pPr>
        <w:keepNext w:val="0"/>
        <w:keepLines w:val="0"/>
        <w:widowControl/>
        <w:suppressLineNumbers w:val="0"/>
        <w:spacing w:before="0" w:beforeAutospacing="0" w:after="0" w:afterAutospacing="0"/>
        <w:ind w:left="0" w:right="0"/>
        <w:jc w:val="both"/>
        <w:textAlignment w:val="center"/>
        <w:rPr>
          <w:rFonts w:hint="eastAsia" w:ascii="等线" w:hAnsi="等线" w:eastAsia="等线" w:cs="等线"/>
          <w:i w:val="0"/>
          <w:iCs w:val="0"/>
          <w:snapToGrid w:val="0"/>
          <w:color w:val="000000"/>
          <w:kern w:val="0"/>
          <w:sz w:val="20"/>
          <w:szCs w:val="20"/>
          <w:u w:val="none"/>
          <w:lang w:val="en-US" w:eastAsia="zh-CN" w:bidi="ar"/>
        </w:rPr>
      </w:pPr>
    </w:p>
    <w:tbl>
      <w:tblPr>
        <w:tblStyle w:val="5"/>
        <w:tblW w:w="0" w:type="auto"/>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19"/>
        <w:gridCol w:w="1319"/>
        <w:gridCol w:w="1387"/>
        <w:gridCol w:w="1200"/>
        <w:gridCol w:w="3876"/>
      </w:tblGrid>
      <w:tr w14:paraId="7145F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719" w:type="dxa"/>
            <w:shd w:val="clear" w:color="auto" w:fill="FF5050"/>
            <w:noWrap/>
            <w:vAlign w:val="center"/>
          </w:tcPr>
          <w:p w14:paraId="2CFA9D40">
            <w:pPr>
              <w:keepNext w:val="0"/>
              <w:keepLines w:val="0"/>
              <w:widowControl/>
              <w:suppressLineNumbers w:val="0"/>
              <w:spacing w:before="0" w:beforeAutospacing="0" w:after="0" w:afterAutospacing="0"/>
              <w:ind w:left="0" w:right="0"/>
              <w:jc w:val="both"/>
              <w:textAlignment w:val="center"/>
              <w:rPr>
                <w:rFonts w:ascii="等线" w:hAnsi="等线" w:eastAsia="等线" w:cs="等线"/>
                <w:b/>
                <w:bCs/>
                <w:i w:val="0"/>
                <w:iCs w:val="0"/>
                <w:color w:val="auto"/>
                <w:sz w:val="20"/>
                <w:szCs w:val="20"/>
                <w:highlight w:val="none"/>
                <w:u w:val="none"/>
              </w:rPr>
            </w:pPr>
            <w:r>
              <w:rPr>
                <w:rFonts w:hint="eastAsia" w:ascii="等线" w:hAnsi="等线" w:eastAsia="等线" w:cs="等线"/>
                <w:b/>
                <w:bCs/>
                <w:i w:val="0"/>
                <w:iCs w:val="0"/>
                <w:snapToGrid w:val="0"/>
                <w:color w:val="auto"/>
                <w:kern w:val="0"/>
                <w:sz w:val="20"/>
                <w:szCs w:val="20"/>
                <w:highlight w:val="none"/>
                <w:u w:val="none"/>
                <w:lang w:val="en-US" w:eastAsia="zh-CN" w:bidi="ar"/>
              </w:rPr>
              <w:t>项目编 号</w:t>
            </w:r>
          </w:p>
        </w:tc>
        <w:tc>
          <w:tcPr>
            <w:tcW w:w="1319" w:type="dxa"/>
            <w:shd w:val="clear" w:color="auto" w:fill="FF5050"/>
            <w:noWrap/>
            <w:vAlign w:val="center"/>
          </w:tcPr>
          <w:p w14:paraId="7702B028">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b/>
                <w:bCs/>
                <w:i w:val="0"/>
                <w:iCs w:val="0"/>
                <w:color w:val="auto"/>
                <w:sz w:val="20"/>
                <w:szCs w:val="20"/>
                <w:highlight w:val="none"/>
                <w:u w:val="none"/>
              </w:rPr>
            </w:pPr>
            <w:r>
              <w:rPr>
                <w:rFonts w:hint="eastAsia" w:ascii="等线" w:hAnsi="等线" w:eastAsia="等线" w:cs="等线"/>
                <w:b/>
                <w:bCs/>
                <w:i w:val="0"/>
                <w:iCs w:val="0"/>
                <w:snapToGrid w:val="0"/>
                <w:color w:val="auto"/>
                <w:kern w:val="0"/>
                <w:sz w:val="20"/>
                <w:szCs w:val="20"/>
                <w:highlight w:val="none"/>
                <w:u w:val="none"/>
                <w:lang w:val="en-US" w:eastAsia="zh-CN" w:bidi="ar"/>
              </w:rPr>
              <w:t>检验项目</w:t>
            </w:r>
          </w:p>
        </w:tc>
        <w:tc>
          <w:tcPr>
            <w:tcW w:w="1387" w:type="dxa"/>
            <w:shd w:val="clear" w:color="auto" w:fill="FF5050"/>
            <w:noWrap/>
            <w:vAlign w:val="center"/>
          </w:tcPr>
          <w:p w14:paraId="123A9797">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b/>
                <w:bCs/>
                <w:i w:val="0"/>
                <w:iCs w:val="0"/>
                <w:color w:val="auto"/>
                <w:sz w:val="20"/>
                <w:szCs w:val="20"/>
                <w:highlight w:val="none"/>
                <w:u w:val="none"/>
              </w:rPr>
            </w:pPr>
            <w:r>
              <w:rPr>
                <w:rFonts w:hint="eastAsia" w:ascii="等线" w:hAnsi="等线" w:eastAsia="等线" w:cs="等线"/>
                <w:b/>
                <w:bCs/>
                <w:i w:val="0"/>
                <w:iCs w:val="0"/>
                <w:snapToGrid w:val="0"/>
                <w:color w:val="auto"/>
                <w:kern w:val="0"/>
                <w:sz w:val="20"/>
                <w:szCs w:val="20"/>
                <w:highlight w:val="none"/>
                <w:u w:val="none"/>
                <w:lang w:val="en-US" w:eastAsia="zh-CN" w:bidi="ar"/>
              </w:rPr>
              <w:t>验收、判别依据</w:t>
            </w:r>
          </w:p>
        </w:tc>
        <w:tc>
          <w:tcPr>
            <w:tcW w:w="1200" w:type="dxa"/>
            <w:shd w:val="clear" w:color="auto" w:fill="FF5050"/>
            <w:noWrap/>
            <w:vAlign w:val="center"/>
          </w:tcPr>
          <w:p w14:paraId="3C18F41E">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b/>
                <w:bCs/>
                <w:i w:val="0"/>
                <w:iCs w:val="0"/>
                <w:color w:val="auto"/>
                <w:sz w:val="20"/>
                <w:szCs w:val="20"/>
                <w:highlight w:val="none"/>
                <w:u w:val="none"/>
              </w:rPr>
            </w:pPr>
            <w:r>
              <w:rPr>
                <w:rFonts w:hint="eastAsia" w:ascii="等线" w:hAnsi="等线" w:eastAsia="等线" w:cs="等线"/>
                <w:b/>
                <w:bCs/>
                <w:i w:val="0"/>
                <w:iCs w:val="0"/>
                <w:snapToGrid w:val="0"/>
                <w:color w:val="auto"/>
                <w:kern w:val="0"/>
                <w:sz w:val="20"/>
                <w:szCs w:val="20"/>
                <w:highlight w:val="none"/>
                <w:u w:val="none"/>
                <w:lang w:val="en-US" w:eastAsia="zh-CN" w:bidi="ar"/>
              </w:rPr>
              <w:t>检验方法及设备</w:t>
            </w:r>
          </w:p>
        </w:tc>
        <w:tc>
          <w:tcPr>
            <w:tcW w:w="3876" w:type="dxa"/>
            <w:shd w:val="clear" w:color="auto" w:fill="FF5050"/>
            <w:noWrap/>
            <w:vAlign w:val="center"/>
          </w:tcPr>
          <w:p w14:paraId="2CF5A4DA">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b/>
                <w:bCs/>
                <w:i w:val="0"/>
                <w:iCs w:val="0"/>
                <w:color w:val="auto"/>
                <w:sz w:val="20"/>
                <w:szCs w:val="20"/>
                <w:highlight w:val="none"/>
                <w:u w:val="none"/>
              </w:rPr>
            </w:pPr>
            <w:r>
              <w:rPr>
                <w:rFonts w:hint="eastAsia" w:ascii="等线" w:hAnsi="等线" w:eastAsia="等线" w:cs="等线"/>
                <w:b/>
                <w:bCs/>
                <w:i w:val="0"/>
                <w:iCs w:val="0"/>
                <w:snapToGrid w:val="0"/>
                <w:color w:val="auto"/>
                <w:kern w:val="0"/>
                <w:sz w:val="20"/>
                <w:szCs w:val="20"/>
                <w:highlight w:val="none"/>
                <w:u w:val="none"/>
                <w:lang w:val="en-US" w:eastAsia="zh-CN" w:bidi="ar"/>
              </w:rPr>
              <w:t>控制措施</w:t>
            </w:r>
          </w:p>
        </w:tc>
      </w:tr>
      <w:tr w14:paraId="66A0E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5" w:hRule="atLeast"/>
        </w:trPr>
        <w:tc>
          <w:tcPr>
            <w:tcW w:w="719" w:type="dxa"/>
            <w:shd w:val="clear" w:color="auto" w:fill="auto"/>
            <w:vAlign w:val="center"/>
          </w:tcPr>
          <w:p w14:paraId="2F943B9C">
            <w:pPr>
              <w:keepNext w:val="0"/>
              <w:keepLines w:val="0"/>
              <w:widowControl/>
              <w:suppressLineNumbers w:val="0"/>
              <w:spacing w:before="0" w:beforeAutospacing="0" w:after="0" w:afterAutospacing="0"/>
              <w:ind w:left="0" w:right="0"/>
              <w:jc w:val="center"/>
              <w:textAlignment w:val="center"/>
              <w:rPr>
                <w:rFonts w:ascii="Arial" w:hAnsi="Arial" w:eastAsia="等线" w:cs="Arial"/>
                <w:b/>
                <w:bCs/>
                <w:i w:val="0"/>
                <w:iCs w:val="0"/>
                <w:color w:val="000000"/>
                <w:sz w:val="21"/>
                <w:szCs w:val="21"/>
                <w:u w:val="none"/>
              </w:rPr>
            </w:pPr>
            <w:r>
              <w:rPr>
                <w:rFonts w:hint="default" w:ascii="Arial" w:hAnsi="Arial" w:eastAsia="等线" w:cs="Arial"/>
                <w:b/>
                <w:bCs/>
                <w:i w:val="0"/>
                <w:iCs w:val="0"/>
                <w:snapToGrid w:val="0"/>
                <w:color w:val="000000"/>
                <w:kern w:val="0"/>
                <w:sz w:val="21"/>
                <w:szCs w:val="21"/>
                <w:u w:val="none"/>
                <w:lang w:val="en-US" w:eastAsia="zh-CN" w:bidi="ar"/>
              </w:rPr>
              <w:t>1</w:t>
            </w:r>
          </w:p>
        </w:tc>
        <w:tc>
          <w:tcPr>
            <w:tcW w:w="7782" w:type="dxa"/>
            <w:gridSpan w:val="4"/>
            <w:shd w:val="clear" w:color="auto" w:fill="auto"/>
            <w:vAlign w:val="center"/>
          </w:tcPr>
          <w:p w14:paraId="501FAE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Style w:val="9"/>
                <w:b/>
                <w:bCs/>
                <w:snapToGrid w:val="0"/>
                <w:color w:val="000000"/>
                <w:sz w:val="21"/>
                <w:szCs w:val="21"/>
                <w:lang w:val="en-US" w:eastAsia="zh-CN" w:bidi="ar"/>
              </w:rPr>
              <w:t>上横梁</w:t>
            </w:r>
            <w:r>
              <w:rPr>
                <w:rStyle w:val="9"/>
                <w:rFonts w:hint="eastAsia"/>
                <w:b/>
                <w:bCs/>
                <w:snapToGrid w:val="0"/>
                <w:color w:val="000000"/>
                <w:sz w:val="21"/>
                <w:szCs w:val="21"/>
                <w:lang w:val="en-US" w:eastAsia="zh-CN" w:bidi="ar"/>
              </w:rPr>
              <w:t>/</w:t>
            </w:r>
            <w:r>
              <w:rPr>
                <w:rStyle w:val="9"/>
                <w:b/>
                <w:bCs/>
                <w:snapToGrid w:val="0"/>
                <w:color w:val="000000"/>
                <w:sz w:val="21"/>
                <w:szCs w:val="21"/>
                <w:lang w:val="en-US" w:eastAsia="zh-CN" w:bidi="ar"/>
              </w:rPr>
              <w:t>左右立柱</w:t>
            </w:r>
            <w:r>
              <w:rPr>
                <w:rStyle w:val="9"/>
                <w:rFonts w:hint="eastAsia"/>
                <w:b/>
                <w:bCs/>
                <w:snapToGrid w:val="0"/>
                <w:color w:val="000000"/>
                <w:sz w:val="21"/>
                <w:szCs w:val="21"/>
                <w:lang w:val="en-US" w:eastAsia="zh-CN" w:bidi="ar"/>
              </w:rPr>
              <w:t>/</w:t>
            </w:r>
            <w:r>
              <w:rPr>
                <w:rStyle w:val="9"/>
                <w:b/>
                <w:bCs/>
                <w:snapToGrid w:val="0"/>
                <w:color w:val="000000"/>
                <w:sz w:val="21"/>
                <w:szCs w:val="21"/>
                <w:lang w:val="en-US" w:eastAsia="zh-CN" w:bidi="ar"/>
              </w:rPr>
              <w:t>底座（</w:t>
            </w:r>
            <w:r>
              <w:rPr>
                <w:rStyle w:val="10"/>
                <w:rFonts w:eastAsia="宋体"/>
                <w:b/>
                <w:bCs/>
                <w:snapToGrid w:val="0"/>
                <w:color w:val="000000"/>
                <w:sz w:val="21"/>
                <w:szCs w:val="21"/>
                <w:lang w:val="en-US" w:eastAsia="zh-CN" w:bidi="ar"/>
              </w:rPr>
              <w:t>ZG270-500)</w:t>
            </w:r>
          </w:p>
        </w:tc>
      </w:tr>
      <w:tr w14:paraId="486F2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02A70202">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1.1</w:t>
            </w:r>
          </w:p>
        </w:tc>
        <w:tc>
          <w:tcPr>
            <w:tcW w:w="1319" w:type="dxa"/>
            <w:vMerge w:val="restart"/>
            <w:shd w:val="clear" w:color="auto" w:fill="auto"/>
            <w:vAlign w:val="center"/>
          </w:tcPr>
          <w:p w14:paraId="3379FD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材质确认</w:t>
            </w:r>
          </w:p>
        </w:tc>
        <w:tc>
          <w:tcPr>
            <w:tcW w:w="1387" w:type="dxa"/>
            <w:shd w:val="clear" w:color="auto" w:fill="auto"/>
            <w:vAlign w:val="center"/>
          </w:tcPr>
          <w:p w14:paraId="53EFE28F">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GB/T 11352</w:t>
            </w:r>
          </w:p>
        </w:tc>
        <w:tc>
          <w:tcPr>
            <w:tcW w:w="1200" w:type="dxa"/>
            <w:vMerge w:val="restart"/>
            <w:shd w:val="clear" w:color="auto" w:fill="auto"/>
            <w:vAlign w:val="center"/>
          </w:tcPr>
          <w:p w14:paraId="102260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材质报告</w:t>
            </w:r>
          </w:p>
        </w:tc>
        <w:tc>
          <w:tcPr>
            <w:tcW w:w="3876" w:type="dxa"/>
            <w:vMerge w:val="restart"/>
            <w:shd w:val="clear" w:color="auto" w:fill="auto"/>
            <w:vAlign w:val="center"/>
          </w:tcPr>
          <w:p w14:paraId="1F750F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验证材质证书，每炉提供化学成分报告、机械性能报告、热处理报告</w:t>
            </w:r>
          </w:p>
        </w:tc>
      </w:tr>
      <w:tr w14:paraId="7C2BA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10EDA5F1">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14C335A8">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27AC3BA3">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lang w:val="en-US"/>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5596A6E5">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475D480C">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7C6CB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0A48988C">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1.2</w:t>
            </w:r>
          </w:p>
        </w:tc>
        <w:tc>
          <w:tcPr>
            <w:tcW w:w="1319" w:type="dxa"/>
            <w:vMerge w:val="restart"/>
            <w:shd w:val="clear" w:color="auto" w:fill="auto"/>
            <w:vAlign w:val="center"/>
          </w:tcPr>
          <w:p w14:paraId="66168B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毛坯外观及</w:t>
            </w:r>
          </w:p>
          <w:p w14:paraId="3F26FB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尺寸检验</w:t>
            </w:r>
          </w:p>
        </w:tc>
        <w:tc>
          <w:tcPr>
            <w:tcW w:w="1387" w:type="dxa"/>
            <w:shd w:val="clear" w:color="auto" w:fill="auto"/>
            <w:vAlign w:val="center"/>
          </w:tcPr>
          <w:p w14:paraId="77822B60">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GB/T 11352</w:t>
            </w:r>
          </w:p>
        </w:tc>
        <w:tc>
          <w:tcPr>
            <w:tcW w:w="1200" w:type="dxa"/>
            <w:vMerge w:val="restart"/>
            <w:shd w:val="clear" w:color="auto" w:fill="auto"/>
            <w:vAlign w:val="center"/>
          </w:tcPr>
          <w:p w14:paraId="75A62E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钢卷尺、游标卡尺、塞尺、刀口尺</w:t>
            </w:r>
          </w:p>
        </w:tc>
        <w:tc>
          <w:tcPr>
            <w:tcW w:w="3876" w:type="dxa"/>
            <w:vMerge w:val="restart"/>
            <w:shd w:val="clear" w:color="auto" w:fill="auto"/>
            <w:vAlign w:val="center"/>
          </w:tcPr>
          <w:p w14:paraId="209EBB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Style w:val="11"/>
                <w:b w:val="0"/>
                <w:bCs w:val="0"/>
                <w:snapToGrid w:val="0"/>
                <w:color w:val="000000"/>
                <w:sz w:val="18"/>
                <w:szCs w:val="18"/>
                <w:lang w:val="en-US" w:eastAsia="zh-CN" w:bidi="ar"/>
              </w:rPr>
              <w:t>铸钢件不得有型砂和粘结物，重要工作表面不允许有气孔、缩松、夹渣及冷隔等缺陷。铸造表面粗糙度应符合</w:t>
            </w:r>
            <w:r>
              <w:rPr>
                <w:rStyle w:val="12"/>
                <w:rFonts w:eastAsia="宋体"/>
                <w:b w:val="0"/>
                <w:bCs w:val="0"/>
                <w:snapToGrid w:val="0"/>
                <w:color w:val="000000"/>
                <w:sz w:val="18"/>
                <w:szCs w:val="18"/>
                <w:lang w:val="en-US" w:eastAsia="zh-CN" w:bidi="ar"/>
              </w:rPr>
              <w:t>GB/T 15056</w:t>
            </w:r>
            <w:r>
              <w:rPr>
                <w:rStyle w:val="11"/>
                <w:b w:val="0"/>
                <w:bCs w:val="0"/>
                <w:snapToGrid w:val="0"/>
                <w:color w:val="000000"/>
                <w:sz w:val="18"/>
                <w:szCs w:val="18"/>
                <w:lang w:val="en-US" w:eastAsia="zh-CN" w:bidi="ar"/>
              </w:rPr>
              <w:t>规定</w:t>
            </w:r>
          </w:p>
        </w:tc>
      </w:tr>
      <w:tr w14:paraId="61C0E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4286BB23">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1F17331E">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0268E548">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58E9C41E">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08A6C997">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6192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67922684">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0242E01C">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370BA8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设计图纸</w:t>
            </w:r>
          </w:p>
        </w:tc>
        <w:tc>
          <w:tcPr>
            <w:tcW w:w="1200" w:type="dxa"/>
            <w:vMerge w:val="continue"/>
            <w:shd w:val="clear" w:color="auto" w:fill="auto"/>
            <w:vAlign w:val="center"/>
          </w:tcPr>
          <w:p w14:paraId="3BAA9F16">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667E8B02">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6AC6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2804991B">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1.3</w:t>
            </w:r>
          </w:p>
        </w:tc>
        <w:tc>
          <w:tcPr>
            <w:tcW w:w="1319" w:type="dxa"/>
            <w:vMerge w:val="restart"/>
            <w:shd w:val="clear" w:color="auto" w:fill="auto"/>
            <w:vAlign w:val="center"/>
          </w:tcPr>
          <w:p w14:paraId="14721E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无损探伤</w:t>
            </w:r>
          </w:p>
        </w:tc>
        <w:tc>
          <w:tcPr>
            <w:tcW w:w="1387" w:type="dxa"/>
            <w:shd w:val="clear" w:color="auto" w:fill="auto"/>
            <w:vAlign w:val="center"/>
          </w:tcPr>
          <w:p w14:paraId="79A3A2A8">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GB/T9444</w:t>
            </w:r>
          </w:p>
        </w:tc>
        <w:tc>
          <w:tcPr>
            <w:tcW w:w="1200" w:type="dxa"/>
            <w:vMerge w:val="restart"/>
            <w:shd w:val="clear" w:color="auto" w:fill="auto"/>
            <w:vAlign w:val="center"/>
          </w:tcPr>
          <w:p w14:paraId="7FF64E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UT&amp;MT</w:t>
            </w:r>
          </w:p>
          <w:p w14:paraId="7A769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探伤仪</w:t>
            </w:r>
          </w:p>
        </w:tc>
        <w:tc>
          <w:tcPr>
            <w:tcW w:w="3876" w:type="dxa"/>
            <w:vMerge w:val="restart"/>
            <w:shd w:val="clear" w:color="auto" w:fill="auto"/>
            <w:vAlign w:val="center"/>
          </w:tcPr>
          <w:p w14:paraId="389C3A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Style w:val="11"/>
                <w:b w:val="0"/>
                <w:bCs w:val="0"/>
                <w:snapToGrid w:val="0"/>
                <w:color w:val="000000"/>
                <w:sz w:val="18"/>
                <w:szCs w:val="18"/>
                <w:lang w:val="en-US" w:eastAsia="zh-CN" w:bidi="ar"/>
              </w:rPr>
              <w:t>验证探伤报告；</w:t>
            </w:r>
            <w:r>
              <w:rPr>
                <w:rStyle w:val="11"/>
                <w:rFonts w:hint="eastAsia"/>
                <w:b w:val="0"/>
                <w:bCs w:val="0"/>
                <w:snapToGrid w:val="0"/>
                <w:color w:val="000000"/>
                <w:sz w:val="18"/>
                <w:szCs w:val="18"/>
                <w:lang w:val="en-US" w:eastAsia="zh-CN" w:bidi="ar"/>
              </w:rPr>
              <w:t>关键区域要求进行</w:t>
            </w:r>
            <w:r>
              <w:rPr>
                <w:rStyle w:val="11"/>
                <w:b w:val="0"/>
                <w:bCs w:val="0"/>
                <w:snapToGrid w:val="0"/>
                <w:color w:val="000000"/>
                <w:sz w:val="18"/>
                <w:szCs w:val="18"/>
                <w:lang w:val="en-US" w:eastAsia="zh-CN" w:bidi="ar"/>
              </w:rPr>
              <w:t>探伤</w:t>
            </w:r>
          </w:p>
        </w:tc>
      </w:tr>
      <w:tr w14:paraId="3FF0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continue"/>
            <w:shd w:val="clear" w:color="auto" w:fill="auto"/>
            <w:vAlign w:val="center"/>
          </w:tcPr>
          <w:p w14:paraId="5D8F61B5">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77E82411">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3A124534">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Style w:val="13"/>
                <w:rFonts w:eastAsia="等线"/>
                <w:b w:val="0"/>
                <w:bCs w:val="0"/>
                <w:snapToGrid w:val="0"/>
                <w:color w:val="000000"/>
                <w:sz w:val="18"/>
                <w:szCs w:val="18"/>
                <w:lang w:val="en-US" w:eastAsia="zh-CN" w:bidi="ar"/>
              </w:rPr>
              <w:t>GB/T 7233.1  3</w:t>
            </w:r>
            <w:r>
              <w:rPr>
                <w:rStyle w:val="14"/>
                <w:b w:val="0"/>
                <w:bCs w:val="0"/>
                <w:snapToGrid w:val="0"/>
                <w:color w:val="000000"/>
                <w:sz w:val="18"/>
                <w:szCs w:val="18"/>
                <w:lang w:val="en-US" w:eastAsia="zh-CN" w:bidi="ar"/>
              </w:rPr>
              <w:t>级</w:t>
            </w:r>
          </w:p>
        </w:tc>
        <w:tc>
          <w:tcPr>
            <w:tcW w:w="1200" w:type="dxa"/>
            <w:vMerge w:val="continue"/>
            <w:shd w:val="clear" w:color="auto" w:fill="auto"/>
            <w:vAlign w:val="center"/>
          </w:tcPr>
          <w:p w14:paraId="2CE6F7C4">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454F4E93">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642F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4" w:hRule="atLeast"/>
        </w:trPr>
        <w:tc>
          <w:tcPr>
            <w:tcW w:w="719" w:type="dxa"/>
            <w:vMerge w:val="continue"/>
            <w:shd w:val="clear" w:color="auto" w:fill="auto"/>
            <w:vAlign w:val="center"/>
          </w:tcPr>
          <w:p w14:paraId="57DB69D6">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1DB5AE29">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1F6E5278">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732570DD">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5D046D85">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271CB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303A4A45">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eastAsia="等线" w:cs="Arial"/>
                <w:b w:val="0"/>
                <w:bCs w:val="0"/>
                <w:i w:val="0"/>
                <w:iCs w:val="0"/>
                <w:snapToGrid w:val="0"/>
                <w:color w:val="000000"/>
                <w:kern w:val="0"/>
                <w:sz w:val="18"/>
                <w:szCs w:val="18"/>
                <w:u w:val="none"/>
                <w:lang w:val="en-US" w:eastAsia="zh-CN" w:bidi="ar"/>
              </w:rPr>
              <w:t>1.4</w:t>
            </w:r>
          </w:p>
        </w:tc>
        <w:tc>
          <w:tcPr>
            <w:tcW w:w="1319" w:type="dxa"/>
            <w:vMerge w:val="restart"/>
            <w:shd w:val="clear" w:color="auto" w:fill="auto"/>
            <w:vAlign w:val="center"/>
          </w:tcPr>
          <w:p w14:paraId="1ED481D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毛坯壁厚</w:t>
            </w:r>
          </w:p>
        </w:tc>
        <w:tc>
          <w:tcPr>
            <w:tcW w:w="1387" w:type="dxa"/>
            <w:shd w:val="clear" w:color="auto" w:fill="auto"/>
            <w:vAlign w:val="center"/>
          </w:tcPr>
          <w:p w14:paraId="28547377">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设计图纸</w:t>
            </w:r>
          </w:p>
        </w:tc>
        <w:tc>
          <w:tcPr>
            <w:tcW w:w="1200" w:type="dxa"/>
            <w:vMerge w:val="restart"/>
            <w:shd w:val="clear" w:color="auto" w:fill="auto"/>
            <w:vAlign w:val="center"/>
          </w:tcPr>
          <w:p w14:paraId="2F197E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UT探伤仪</w:t>
            </w:r>
          </w:p>
        </w:tc>
        <w:tc>
          <w:tcPr>
            <w:tcW w:w="3876" w:type="dxa"/>
            <w:vMerge w:val="restart"/>
            <w:shd w:val="clear" w:color="auto" w:fill="auto"/>
            <w:vAlign w:val="center"/>
          </w:tcPr>
          <w:p w14:paraId="572C891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color w:val="000000"/>
                <w:sz w:val="18"/>
                <w:szCs w:val="18"/>
                <w:u w:val="none"/>
                <w:lang w:val="en-US" w:eastAsia="zh-CN"/>
              </w:rPr>
            </w:pPr>
            <w:r>
              <w:rPr>
                <w:rFonts w:hint="eastAsia" w:ascii="宋体" w:hAnsi="宋体" w:eastAsia="宋体" w:cs="宋体"/>
                <w:b w:val="0"/>
                <w:bCs w:val="0"/>
                <w:i w:val="0"/>
                <w:iCs w:val="0"/>
                <w:color w:val="000000"/>
                <w:sz w:val="18"/>
                <w:szCs w:val="18"/>
                <w:u w:val="none"/>
                <w:lang w:val="en-US" w:eastAsia="zh-CN"/>
              </w:rPr>
              <w:t>单面平均壁厚为正</w:t>
            </w:r>
          </w:p>
        </w:tc>
      </w:tr>
      <w:tr w14:paraId="1CFC8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19" w:type="dxa"/>
            <w:vMerge w:val="continue"/>
            <w:shd w:val="clear" w:color="auto" w:fill="auto"/>
            <w:vAlign w:val="center"/>
          </w:tcPr>
          <w:p w14:paraId="60BC78BA">
            <w:pPr>
              <w:keepNext w:val="0"/>
              <w:keepLines w:val="0"/>
              <w:widowControl/>
              <w:suppressLineNumbers w:val="0"/>
              <w:spacing w:before="0" w:beforeAutospacing="0" w:after="0" w:afterAutospacing="0"/>
              <w:ind w:left="0" w:right="0"/>
              <w:jc w:val="center"/>
              <w:textAlignment w:val="center"/>
              <w:rPr>
                <w:rFonts w:hint="eastAsia" w:eastAsia="等线" w:cs="Arial"/>
                <w:b w:val="0"/>
                <w:bCs w:val="0"/>
                <w:i w:val="0"/>
                <w:iCs w:val="0"/>
                <w:snapToGrid w:val="0"/>
                <w:color w:val="000000"/>
                <w:kern w:val="0"/>
                <w:sz w:val="18"/>
                <w:szCs w:val="18"/>
                <w:u w:val="none"/>
                <w:lang w:val="en-US" w:eastAsia="zh-CN" w:bidi="ar"/>
              </w:rPr>
            </w:pPr>
          </w:p>
        </w:tc>
        <w:tc>
          <w:tcPr>
            <w:tcW w:w="1319" w:type="dxa"/>
            <w:vMerge w:val="continue"/>
            <w:shd w:val="clear" w:color="auto" w:fill="auto"/>
            <w:vAlign w:val="center"/>
          </w:tcPr>
          <w:p w14:paraId="71C807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p>
        </w:tc>
        <w:tc>
          <w:tcPr>
            <w:tcW w:w="1387" w:type="dxa"/>
            <w:shd w:val="clear" w:color="auto" w:fill="auto"/>
            <w:vAlign w:val="center"/>
          </w:tcPr>
          <w:p w14:paraId="2E4E5A0B">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433275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p>
        </w:tc>
        <w:tc>
          <w:tcPr>
            <w:tcW w:w="3876" w:type="dxa"/>
            <w:vMerge w:val="continue"/>
            <w:shd w:val="clear" w:color="auto" w:fill="auto"/>
            <w:vAlign w:val="center"/>
          </w:tcPr>
          <w:p w14:paraId="365616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lang w:val="en-US" w:eastAsia="zh-CN"/>
              </w:rPr>
            </w:pPr>
          </w:p>
        </w:tc>
      </w:tr>
      <w:tr w14:paraId="7B2AE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19" w:type="dxa"/>
            <w:shd w:val="clear" w:color="auto" w:fill="auto"/>
            <w:vAlign w:val="center"/>
          </w:tcPr>
          <w:p w14:paraId="39F0C3CB">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eastAsia="等线" w:cs="Arial"/>
                <w:b w:val="0"/>
                <w:bCs w:val="0"/>
                <w:i w:val="0"/>
                <w:iCs w:val="0"/>
                <w:snapToGrid w:val="0"/>
                <w:color w:val="000000"/>
                <w:kern w:val="0"/>
                <w:sz w:val="18"/>
                <w:szCs w:val="18"/>
                <w:u w:val="none"/>
                <w:lang w:val="en-US" w:eastAsia="zh-CN" w:bidi="ar"/>
              </w:rPr>
              <w:t>1.5</w:t>
            </w:r>
          </w:p>
        </w:tc>
        <w:tc>
          <w:tcPr>
            <w:tcW w:w="1319" w:type="dxa"/>
            <w:shd w:val="clear" w:color="auto" w:fill="auto"/>
            <w:vAlign w:val="center"/>
          </w:tcPr>
          <w:p w14:paraId="0B8BE49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毛坯重量</w:t>
            </w:r>
          </w:p>
        </w:tc>
        <w:tc>
          <w:tcPr>
            <w:tcW w:w="1387" w:type="dxa"/>
            <w:shd w:val="clear" w:color="auto" w:fill="auto"/>
            <w:vAlign w:val="center"/>
          </w:tcPr>
          <w:p w14:paraId="43B2BBB6">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shd w:val="clear" w:color="auto" w:fill="auto"/>
            <w:vAlign w:val="center"/>
          </w:tcPr>
          <w:p w14:paraId="5CECB11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地磅</w:t>
            </w:r>
          </w:p>
        </w:tc>
        <w:tc>
          <w:tcPr>
            <w:tcW w:w="3876" w:type="dxa"/>
            <w:shd w:val="clear" w:color="auto" w:fill="auto"/>
            <w:vAlign w:val="center"/>
          </w:tcPr>
          <w:p w14:paraId="6BEEF9A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color w:val="000000"/>
                <w:sz w:val="18"/>
                <w:szCs w:val="18"/>
                <w:u w:val="none"/>
                <w:lang w:val="en-US" w:eastAsia="zh-CN"/>
              </w:rPr>
            </w:pPr>
            <w:r>
              <w:rPr>
                <w:rFonts w:hint="eastAsia" w:ascii="宋体" w:hAnsi="宋体" w:eastAsia="宋体" w:cs="宋体"/>
                <w:b w:val="0"/>
                <w:bCs w:val="0"/>
                <w:i w:val="0"/>
                <w:iCs w:val="0"/>
                <w:color w:val="000000"/>
                <w:sz w:val="18"/>
                <w:szCs w:val="18"/>
                <w:u w:val="none"/>
                <w:lang w:val="en-US" w:eastAsia="zh-CN"/>
              </w:rPr>
              <w:t>按实际过磅重量结算，结算重量上限不超过设计理论重量的3%</w:t>
            </w:r>
          </w:p>
        </w:tc>
      </w:tr>
      <w:tr w14:paraId="34F2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6440AC6D">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1.</w:t>
            </w:r>
            <w:r>
              <w:rPr>
                <w:rFonts w:hint="eastAsia" w:eastAsia="等线" w:cs="Arial"/>
                <w:b w:val="0"/>
                <w:bCs w:val="0"/>
                <w:i w:val="0"/>
                <w:iCs w:val="0"/>
                <w:snapToGrid w:val="0"/>
                <w:color w:val="000000"/>
                <w:kern w:val="0"/>
                <w:sz w:val="18"/>
                <w:szCs w:val="18"/>
                <w:u w:val="none"/>
                <w:lang w:val="en-US" w:eastAsia="zh-CN" w:bidi="ar"/>
              </w:rPr>
              <w:t>6</w:t>
            </w:r>
          </w:p>
        </w:tc>
        <w:tc>
          <w:tcPr>
            <w:tcW w:w="1319" w:type="dxa"/>
            <w:vMerge w:val="restart"/>
            <w:shd w:val="clear" w:color="auto" w:fill="auto"/>
            <w:vAlign w:val="center"/>
          </w:tcPr>
          <w:p w14:paraId="4784328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color w:val="000000"/>
                <w:sz w:val="18"/>
                <w:szCs w:val="18"/>
                <w:u w:val="none"/>
                <w:lang w:val="en-US"/>
              </w:rPr>
            </w:pPr>
            <w:r>
              <w:rPr>
                <w:rFonts w:hint="eastAsia" w:ascii="宋体" w:hAnsi="宋体" w:eastAsia="宋体" w:cs="宋体"/>
                <w:b w:val="0"/>
                <w:bCs w:val="0"/>
                <w:i w:val="0"/>
                <w:iCs w:val="0"/>
                <w:snapToGrid w:val="0"/>
                <w:color w:val="000000"/>
                <w:kern w:val="0"/>
                <w:sz w:val="18"/>
                <w:szCs w:val="18"/>
                <w:u w:val="none"/>
                <w:lang w:val="en-US" w:eastAsia="zh-CN" w:bidi="ar"/>
              </w:rPr>
              <w:t>零件加工尺寸检验（含重要加工面粗糙度及形位公差）</w:t>
            </w:r>
          </w:p>
        </w:tc>
        <w:tc>
          <w:tcPr>
            <w:tcW w:w="1387" w:type="dxa"/>
            <w:shd w:val="clear" w:color="auto" w:fill="auto"/>
            <w:vAlign w:val="center"/>
          </w:tcPr>
          <w:p w14:paraId="15316C31">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JB/T 11194.2 - 3.11.1</w:t>
            </w:r>
          </w:p>
        </w:tc>
        <w:tc>
          <w:tcPr>
            <w:tcW w:w="1200" w:type="dxa"/>
            <w:vMerge w:val="restart"/>
            <w:shd w:val="clear" w:color="auto" w:fill="auto"/>
            <w:vAlign w:val="center"/>
          </w:tcPr>
          <w:p w14:paraId="7FC8EA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游标卡尺、千分尺、百分表、深度尺</w:t>
            </w:r>
          </w:p>
        </w:tc>
        <w:tc>
          <w:tcPr>
            <w:tcW w:w="3876" w:type="dxa"/>
            <w:vMerge w:val="restart"/>
            <w:shd w:val="clear" w:color="auto" w:fill="auto"/>
            <w:vAlign w:val="center"/>
          </w:tcPr>
          <w:p w14:paraId="0872C65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val="0"/>
                <w:bCs w:val="0"/>
                <w:i w:val="0"/>
                <w:iCs w:val="0"/>
                <w:color w:val="000000"/>
                <w:sz w:val="18"/>
                <w:szCs w:val="18"/>
                <w:u w:val="none"/>
                <w:lang w:val="en-US" w:eastAsia="zh-CN"/>
              </w:rPr>
            </w:pPr>
            <w:r>
              <w:rPr>
                <w:rFonts w:hint="eastAsia" w:ascii="宋体" w:hAnsi="宋体" w:eastAsia="宋体" w:cs="宋体"/>
                <w:b w:val="0"/>
                <w:bCs w:val="0"/>
                <w:i w:val="0"/>
                <w:iCs w:val="0"/>
                <w:color w:val="000000"/>
                <w:sz w:val="18"/>
                <w:szCs w:val="18"/>
                <w:u w:val="none"/>
                <w:lang w:val="en-US" w:eastAsia="zh-CN"/>
              </w:rPr>
              <w:t>检验记录表（关键尺寸要求双方共检）</w:t>
            </w:r>
          </w:p>
        </w:tc>
      </w:tr>
      <w:tr w14:paraId="5181B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5170AF98">
            <w:pPr>
              <w:keepNext w:val="0"/>
              <w:keepLines w:val="0"/>
              <w:widowControl/>
              <w:suppressLineNumbers w:val="0"/>
              <w:spacing w:before="0" w:beforeAutospacing="0" w:after="0" w:afterAutospacing="0"/>
              <w:ind w:left="0" w:right="0"/>
              <w:jc w:val="center"/>
              <w:rPr>
                <w:rFonts w:hint="default" w:ascii="Arial" w:hAnsi="Arial" w:eastAsia="等线" w:cs="Arial"/>
                <w:b/>
                <w:bCs/>
                <w:i w:val="0"/>
                <w:iCs w:val="0"/>
                <w:color w:val="000000"/>
                <w:sz w:val="18"/>
                <w:szCs w:val="18"/>
                <w:u w:val="none"/>
              </w:rPr>
            </w:pPr>
          </w:p>
        </w:tc>
        <w:tc>
          <w:tcPr>
            <w:tcW w:w="1319" w:type="dxa"/>
            <w:vMerge w:val="continue"/>
            <w:shd w:val="clear" w:color="auto" w:fill="auto"/>
            <w:vAlign w:val="center"/>
          </w:tcPr>
          <w:p w14:paraId="126F2604">
            <w:pPr>
              <w:keepNext w:val="0"/>
              <w:keepLines w:val="0"/>
              <w:widowControl/>
              <w:suppressLineNumbers w:val="0"/>
              <w:spacing w:before="0" w:beforeAutospacing="0" w:after="0" w:afterAutospacing="0"/>
              <w:ind w:left="0" w:right="0"/>
              <w:rPr>
                <w:rFonts w:hint="eastAsia" w:ascii="宋体" w:hAnsi="宋体" w:eastAsia="宋体" w:cs="宋体"/>
                <w:b/>
                <w:bCs/>
                <w:i w:val="0"/>
                <w:iCs w:val="0"/>
                <w:color w:val="000000"/>
                <w:sz w:val="18"/>
                <w:szCs w:val="18"/>
                <w:u w:val="none"/>
              </w:rPr>
            </w:pPr>
          </w:p>
        </w:tc>
        <w:tc>
          <w:tcPr>
            <w:tcW w:w="1387" w:type="dxa"/>
            <w:shd w:val="clear" w:color="auto" w:fill="auto"/>
            <w:vAlign w:val="center"/>
          </w:tcPr>
          <w:p w14:paraId="06E29701">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75623A21">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3876" w:type="dxa"/>
            <w:vMerge w:val="continue"/>
            <w:shd w:val="clear" w:color="auto" w:fill="auto"/>
            <w:vAlign w:val="center"/>
          </w:tcPr>
          <w:p w14:paraId="0D4835D4">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r>
      <w:tr w14:paraId="6A6A1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0" w:hRule="atLeast"/>
        </w:trPr>
        <w:tc>
          <w:tcPr>
            <w:tcW w:w="719" w:type="dxa"/>
            <w:vMerge w:val="continue"/>
            <w:shd w:val="clear" w:color="auto" w:fill="auto"/>
            <w:vAlign w:val="center"/>
          </w:tcPr>
          <w:p w14:paraId="377CD647">
            <w:pPr>
              <w:keepNext w:val="0"/>
              <w:keepLines w:val="0"/>
              <w:widowControl/>
              <w:suppressLineNumbers w:val="0"/>
              <w:spacing w:before="0" w:beforeAutospacing="0" w:after="0" w:afterAutospacing="0"/>
              <w:ind w:left="0" w:right="0"/>
              <w:jc w:val="center"/>
              <w:rPr>
                <w:rFonts w:hint="default" w:ascii="Arial" w:hAnsi="Arial" w:eastAsia="等线" w:cs="Arial"/>
                <w:b/>
                <w:bCs/>
                <w:i w:val="0"/>
                <w:iCs w:val="0"/>
                <w:color w:val="000000"/>
                <w:sz w:val="18"/>
                <w:szCs w:val="18"/>
                <w:u w:val="none"/>
              </w:rPr>
            </w:pPr>
          </w:p>
        </w:tc>
        <w:tc>
          <w:tcPr>
            <w:tcW w:w="1319" w:type="dxa"/>
            <w:vMerge w:val="continue"/>
            <w:shd w:val="clear" w:color="auto" w:fill="auto"/>
            <w:vAlign w:val="center"/>
          </w:tcPr>
          <w:p w14:paraId="701A490B">
            <w:pPr>
              <w:keepNext w:val="0"/>
              <w:keepLines w:val="0"/>
              <w:widowControl/>
              <w:suppressLineNumbers w:val="0"/>
              <w:spacing w:before="0" w:beforeAutospacing="0" w:after="0" w:afterAutospacing="0"/>
              <w:ind w:left="0" w:right="0"/>
              <w:rPr>
                <w:rFonts w:hint="eastAsia" w:ascii="宋体" w:hAnsi="宋体" w:eastAsia="宋体" w:cs="宋体"/>
                <w:b/>
                <w:bCs/>
                <w:i w:val="0"/>
                <w:iCs w:val="0"/>
                <w:color w:val="000000"/>
                <w:sz w:val="18"/>
                <w:szCs w:val="18"/>
                <w:u w:val="none"/>
              </w:rPr>
            </w:pPr>
          </w:p>
        </w:tc>
        <w:tc>
          <w:tcPr>
            <w:tcW w:w="1387" w:type="dxa"/>
            <w:shd w:val="clear" w:color="auto" w:fill="auto"/>
            <w:vAlign w:val="center"/>
          </w:tcPr>
          <w:p w14:paraId="0035B3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设计图纸</w:t>
            </w:r>
          </w:p>
        </w:tc>
        <w:tc>
          <w:tcPr>
            <w:tcW w:w="1200" w:type="dxa"/>
            <w:vMerge w:val="continue"/>
            <w:shd w:val="clear" w:color="auto" w:fill="auto"/>
            <w:vAlign w:val="center"/>
          </w:tcPr>
          <w:p w14:paraId="77D62C5D">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3876" w:type="dxa"/>
            <w:vMerge w:val="continue"/>
            <w:shd w:val="clear" w:color="auto" w:fill="auto"/>
            <w:vAlign w:val="center"/>
          </w:tcPr>
          <w:p w14:paraId="7B878E19">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r>
      <w:tr w14:paraId="302D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1" w:hRule="atLeast"/>
        </w:trPr>
        <w:tc>
          <w:tcPr>
            <w:tcW w:w="719" w:type="dxa"/>
            <w:shd w:val="clear" w:color="auto" w:fill="auto"/>
            <w:vAlign w:val="center"/>
          </w:tcPr>
          <w:p w14:paraId="4CAD9F2E">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bCs/>
                <w:i w:val="0"/>
                <w:iCs w:val="0"/>
                <w:color w:val="000000"/>
                <w:sz w:val="18"/>
                <w:szCs w:val="18"/>
                <w:u w:val="none"/>
              </w:rPr>
            </w:pPr>
            <w:r>
              <w:rPr>
                <w:rFonts w:hint="default" w:ascii="Arial" w:hAnsi="Arial" w:eastAsia="等线" w:cs="Arial"/>
                <w:b/>
                <w:bCs/>
                <w:i w:val="0"/>
                <w:iCs w:val="0"/>
                <w:snapToGrid w:val="0"/>
                <w:color w:val="000000"/>
                <w:kern w:val="0"/>
                <w:sz w:val="18"/>
                <w:szCs w:val="18"/>
                <w:u w:val="none"/>
                <w:lang w:val="en-US" w:eastAsia="zh-CN" w:bidi="ar"/>
              </w:rPr>
              <w:t>2</w:t>
            </w:r>
          </w:p>
        </w:tc>
        <w:tc>
          <w:tcPr>
            <w:tcW w:w="7782" w:type="dxa"/>
            <w:gridSpan w:val="4"/>
            <w:shd w:val="clear" w:color="auto" w:fill="auto"/>
            <w:vAlign w:val="center"/>
          </w:tcPr>
          <w:p w14:paraId="7424BC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Style w:val="9"/>
                <w:b/>
                <w:bCs/>
                <w:snapToGrid w:val="0"/>
                <w:color w:val="000000"/>
                <w:sz w:val="21"/>
                <w:szCs w:val="21"/>
                <w:lang w:val="en-US" w:eastAsia="zh-CN" w:bidi="ar"/>
              </w:rPr>
              <w:t>滑块</w:t>
            </w:r>
            <w:r>
              <w:rPr>
                <w:rStyle w:val="9"/>
                <w:rFonts w:hint="eastAsia"/>
                <w:b/>
                <w:bCs/>
                <w:snapToGrid w:val="0"/>
                <w:color w:val="000000"/>
                <w:sz w:val="21"/>
                <w:szCs w:val="21"/>
                <w:lang w:val="en-US" w:eastAsia="zh-CN" w:bidi="ar"/>
              </w:rPr>
              <w:t>/</w:t>
            </w:r>
            <w:r>
              <w:rPr>
                <w:rStyle w:val="9"/>
                <w:b/>
                <w:bCs/>
                <w:snapToGrid w:val="0"/>
                <w:color w:val="000000"/>
                <w:sz w:val="21"/>
                <w:szCs w:val="21"/>
                <w:lang w:val="en-US" w:eastAsia="zh-CN" w:bidi="ar"/>
              </w:rPr>
              <w:t>飞轮（ZG270-500)</w:t>
            </w:r>
            <w:r>
              <w:rPr>
                <w:rStyle w:val="9"/>
                <w:rFonts w:hint="eastAsia"/>
                <w:b/>
                <w:bCs/>
                <w:snapToGrid w:val="0"/>
                <w:color w:val="000000"/>
                <w:sz w:val="21"/>
                <w:szCs w:val="21"/>
                <w:lang w:val="en-US" w:eastAsia="zh-CN" w:bidi="ar"/>
              </w:rPr>
              <w:t>;</w:t>
            </w:r>
            <w:r>
              <w:rPr>
                <w:rStyle w:val="9"/>
                <w:b/>
                <w:bCs/>
                <w:snapToGrid w:val="0"/>
                <w:color w:val="000000"/>
                <w:sz w:val="21"/>
                <w:szCs w:val="21"/>
                <w:lang w:val="en-US" w:eastAsia="zh-CN" w:bidi="ar"/>
              </w:rPr>
              <w:t>飞轮轮毂</w:t>
            </w:r>
            <w:r>
              <w:rPr>
                <w:rStyle w:val="9"/>
                <w:rFonts w:hint="eastAsia"/>
                <w:b/>
                <w:bCs/>
                <w:snapToGrid w:val="0"/>
                <w:color w:val="000000"/>
                <w:sz w:val="21"/>
                <w:szCs w:val="21"/>
                <w:lang w:val="en-US" w:eastAsia="zh-CN" w:bidi="ar"/>
              </w:rPr>
              <w:t>/</w:t>
            </w:r>
            <w:r>
              <w:rPr>
                <w:rStyle w:val="9"/>
                <w:b/>
                <w:bCs/>
                <w:snapToGrid w:val="0"/>
                <w:color w:val="000000"/>
                <w:sz w:val="21"/>
                <w:szCs w:val="21"/>
                <w:lang w:val="en-US" w:eastAsia="zh-CN" w:bidi="ar"/>
              </w:rPr>
              <w:t>飞轮压圈（ZG310-570)</w:t>
            </w:r>
          </w:p>
        </w:tc>
      </w:tr>
      <w:tr w14:paraId="2E548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719" w:type="dxa"/>
            <w:vMerge w:val="restart"/>
            <w:shd w:val="clear" w:color="auto" w:fill="auto"/>
            <w:vAlign w:val="center"/>
          </w:tcPr>
          <w:p w14:paraId="1B3F79EE">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2.1</w:t>
            </w:r>
          </w:p>
        </w:tc>
        <w:tc>
          <w:tcPr>
            <w:tcW w:w="1319" w:type="dxa"/>
            <w:vMerge w:val="restart"/>
            <w:shd w:val="clear" w:color="auto" w:fill="auto"/>
            <w:vAlign w:val="center"/>
          </w:tcPr>
          <w:p w14:paraId="2706C2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材质确认</w:t>
            </w:r>
          </w:p>
        </w:tc>
        <w:tc>
          <w:tcPr>
            <w:tcW w:w="1387" w:type="dxa"/>
            <w:shd w:val="clear" w:color="auto" w:fill="auto"/>
            <w:vAlign w:val="center"/>
          </w:tcPr>
          <w:p w14:paraId="227F8596">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GB/T 11352</w:t>
            </w:r>
          </w:p>
        </w:tc>
        <w:tc>
          <w:tcPr>
            <w:tcW w:w="1200" w:type="dxa"/>
            <w:vMerge w:val="restart"/>
            <w:shd w:val="clear" w:color="auto" w:fill="auto"/>
            <w:vAlign w:val="center"/>
          </w:tcPr>
          <w:p w14:paraId="360897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材质报告</w:t>
            </w:r>
          </w:p>
        </w:tc>
        <w:tc>
          <w:tcPr>
            <w:tcW w:w="3876" w:type="dxa"/>
            <w:vMerge w:val="restart"/>
            <w:shd w:val="clear" w:color="auto" w:fill="auto"/>
            <w:vAlign w:val="center"/>
          </w:tcPr>
          <w:p w14:paraId="6ABB43F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验证材质证书，每炉提供化学成分报告、机械性能报告、热处理报告。</w:t>
            </w:r>
          </w:p>
        </w:tc>
      </w:tr>
      <w:tr w14:paraId="34E1D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55D3986E">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0C91139A">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38C23243">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5F6F485C">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2FD2D463">
            <w:pPr>
              <w:keepNext w:val="0"/>
              <w:keepLines w:val="0"/>
              <w:widowControl/>
              <w:suppressLineNumbers w:val="0"/>
              <w:spacing w:before="0" w:beforeAutospacing="0" w:after="0" w:afterAutospacing="0"/>
              <w:ind w:left="0" w:right="0"/>
              <w:jc w:val="both"/>
              <w:rPr>
                <w:rFonts w:hint="eastAsia" w:ascii="宋体" w:hAnsi="宋体" w:eastAsia="宋体" w:cs="宋体"/>
                <w:b w:val="0"/>
                <w:bCs w:val="0"/>
                <w:i w:val="0"/>
                <w:iCs w:val="0"/>
                <w:color w:val="000000"/>
                <w:sz w:val="18"/>
                <w:szCs w:val="18"/>
                <w:u w:val="none"/>
              </w:rPr>
            </w:pPr>
          </w:p>
        </w:tc>
      </w:tr>
      <w:tr w14:paraId="0C56B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1C314254">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2.2</w:t>
            </w:r>
          </w:p>
        </w:tc>
        <w:tc>
          <w:tcPr>
            <w:tcW w:w="1319" w:type="dxa"/>
            <w:vMerge w:val="restart"/>
            <w:shd w:val="clear" w:color="auto" w:fill="auto"/>
            <w:vAlign w:val="center"/>
          </w:tcPr>
          <w:p w14:paraId="147041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毛坯外观及</w:t>
            </w:r>
          </w:p>
          <w:p w14:paraId="5328D4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尺寸检验</w:t>
            </w:r>
          </w:p>
        </w:tc>
        <w:tc>
          <w:tcPr>
            <w:tcW w:w="1387" w:type="dxa"/>
            <w:shd w:val="clear" w:color="auto" w:fill="auto"/>
            <w:vAlign w:val="center"/>
          </w:tcPr>
          <w:p w14:paraId="2CA96672">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GB/T 11352</w:t>
            </w:r>
          </w:p>
        </w:tc>
        <w:tc>
          <w:tcPr>
            <w:tcW w:w="1200" w:type="dxa"/>
            <w:vMerge w:val="restart"/>
            <w:shd w:val="clear" w:color="auto" w:fill="auto"/>
            <w:vAlign w:val="center"/>
          </w:tcPr>
          <w:p w14:paraId="7BECE7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钢卷尺、游标卡尺、塞尺、刀口尺</w:t>
            </w:r>
          </w:p>
        </w:tc>
        <w:tc>
          <w:tcPr>
            <w:tcW w:w="3876" w:type="dxa"/>
            <w:vMerge w:val="restart"/>
            <w:shd w:val="clear" w:color="auto" w:fill="auto"/>
            <w:vAlign w:val="center"/>
          </w:tcPr>
          <w:p w14:paraId="751BC43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铸钢件不得有型砂和粘结物，重要工作表面不允许有气孔、缩松、夹渣及冷隔等缺陷。</w:t>
            </w:r>
          </w:p>
        </w:tc>
      </w:tr>
      <w:tr w14:paraId="15948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114B4DF2">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4BCFFD2C">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7523A097">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3876567E">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207D5B5E">
            <w:pPr>
              <w:keepNext w:val="0"/>
              <w:keepLines w:val="0"/>
              <w:widowControl/>
              <w:suppressLineNumbers w:val="0"/>
              <w:spacing w:before="0" w:beforeAutospacing="0" w:after="0" w:afterAutospacing="0"/>
              <w:ind w:left="0" w:right="0"/>
              <w:jc w:val="both"/>
              <w:rPr>
                <w:rFonts w:hint="eastAsia" w:ascii="宋体" w:hAnsi="宋体" w:eastAsia="宋体" w:cs="宋体"/>
                <w:b w:val="0"/>
                <w:bCs w:val="0"/>
                <w:i w:val="0"/>
                <w:iCs w:val="0"/>
                <w:color w:val="000000"/>
                <w:sz w:val="18"/>
                <w:szCs w:val="18"/>
                <w:u w:val="none"/>
              </w:rPr>
            </w:pPr>
          </w:p>
        </w:tc>
      </w:tr>
      <w:tr w14:paraId="6DEE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0F28EFCE">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0CC8B749">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1E218F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设计图纸</w:t>
            </w:r>
          </w:p>
        </w:tc>
        <w:tc>
          <w:tcPr>
            <w:tcW w:w="1200" w:type="dxa"/>
            <w:vMerge w:val="continue"/>
            <w:shd w:val="clear" w:color="auto" w:fill="auto"/>
            <w:vAlign w:val="center"/>
          </w:tcPr>
          <w:p w14:paraId="690323D6">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7C0F23D0">
            <w:pPr>
              <w:keepNext w:val="0"/>
              <w:keepLines w:val="0"/>
              <w:widowControl/>
              <w:suppressLineNumbers w:val="0"/>
              <w:spacing w:before="0" w:beforeAutospacing="0" w:after="0" w:afterAutospacing="0"/>
              <w:ind w:left="0" w:right="0"/>
              <w:jc w:val="both"/>
              <w:rPr>
                <w:rFonts w:hint="eastAsia" w:ascii="宋体" w:hAnsi="宋体" w:eastAsia="宋体" w:cs="宋体"/>
                <w:b w:val="0"/>
                <w:bCs w:val="0"/>
                <w:i w:val="0"/>
                <w:iCs w:val="0"/>
                <w:color w:val="000000"/>
                <w:sz w:val="18"/>
                <w:szCs w:val="18"/>
                <w:u w:val="none"/>
              </w:rPr>
            </w:pPr>
          </w:p>
        </w:tc>
      </w:tr>
      <w:tr w14:paraId="7B4DA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11C31553">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2.3</w:t>
            </w:r>
          </w:p>
        </w:tc>
        <w:tc>
          <w:tcPr>
            <w:tcW w:w="1319" w:type="dxa"/>
            <w:vMerge w:val="restart"/>
            <w:shd w:val="clear" w:color="auto" w:fill="auto"/>
            <w:vAlign w:val="center"/>
          </w:tcPr>
          <w:p w14:paraId="0D40AE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无损探伤</w:t>
            </w:r>
          </w:p>
        </w:tc>
        <w:tc>
          <w:tcPr>
            <w:tcW w:w="1387" w:type="dxa"/>
            <w:shd w:val="clear" w:color="auto" w:fill="auto"/>
            <w:vAlign w:val="center"/>
          </w:tcPr>
          <w:p w14:paraId="3ABFDB30">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Style w:val="13"/>
                <w:rFonts w:eastAsia="等线"/>
                <w:b w:val="0"/>
                <w:bCs w:val="0"/>
                <w:snapToGrid w:val="0"/>
                <w:color w:val="000000"/>
                <w:sz w:val="18"/>
                <w:szCs w:val="18"/>
                <w:lang w:val="en-US" w:eastAsia="zh-CN" w:bidi="ar"/>
              </w:rPr>
              <w:t>GB/T 7233.1  3</w:t>
            </w:r>
            <w:r>
              <w:rPr>
                <w:rStyle w:val="14"/>
                <w:b w:val="0"/>
                <w:bCs w:val="0"/>
                <w:snapToGrid w:val="0"/>
                <w:color w:val="000000"/>
                <w:sz w:val="18"/>
                <w:szCs w:val="18"/>
                <w:lang w:val="en-US" w:eastAsia="zh-CN" w:bidi="ar"/>
              </w:rPr>
              <w:t>级</w:t>
            </w:r>
          </w:p>
        </w:tc>
        <w:tc>
          <w:tcPr>
            <w:tcW w:w="1200" w:type="dxa"/>
            <w:vMerge w:val="restart"/>
            <w:shd w:val="clear" w:color="auto" w:fill="auto"/>
            <w:vAlign w:val="center"/>
          </w:tcPr>
          <w:p w14:paraId="69261F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UT&amp;MT</w:t>
            </w:r>
          </w:p>
          <w:p w14:paraId="05C1C2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探伤仪</w:t>
            </w:r>
          </w:p>
        </w:tc>
        <w:tc>
          <w:tcPr>
            <w:tcW w:w="3876" w:type="dxa"/>
            <w:vMerge w:val="restart"/>
            <w:shd w:val="clear" w:color="auto" w:fill="auto"/>
            <w:vAlign w:val="center"/>
          </w:tcPr>
          <w:p w14:paraId="2F889F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Style w:val="11"/>
                <w:b w:val="0"/>
                <w:bCs w:val="0"/>
                <w:snapToGrid w:val="0"/>
                <w:color w:val="000000"/>
                <w:sz w:val="18"/>
                <w:szCs w:val="18"/>
                <w:lang w:val="en-US" w:eastAsia="zh-CN" w:bidi="ar"/>
              </w:rPr>
              <w:t>验证探伤报告；</w:t>
            </w:r>
            <w:r>
              <w:rPr>
                <w:rStyle w:val="11"/>
                <w:rFonts w:hint="eastAsia"/>
                <w:b w:val="0"/>
                <w:bCs w:val="0"/>
                <w:snapToGrid w:val="0"/>
                <w:color w:val="000000"/>
                <w:sz w:val="18"/>
                <w:szCs w:val="18"/>
                <w:lang w:val="en-US" w:eastAsia="zh-CN" w:bidi="ar"/>
              </w:rPr>
              <w:t>关键区域要求进行</w:t>
            </w:r>
            <w:r>
              <w:rPr>
                <w:rStyle w:val="11"/>
                <w:b w:val="0"/>
                <w:bCs w:val="0"/>
                <w:snapToGrid w:val="0"/>
                <w:color w:val="000000"/>
                <w:sz w:val="18"/>
                <w:szCs w:val="18"/>
                <w:lang w:val="en-US" w:eastAsia="zh-CN" w:bidi="ar"/>
              </w:rPr>
              <w:t>探伤</w:t>
            </w:r>
          </w:p>
        </w:tc>
      </w:tr>
      <w:tr w14:paraId="5DBE0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68519804">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0BDAF7EF">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5784B326">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4C141482">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68199603">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7F1CC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shd w:val="clear" w:color="auto" w:fill="auto"/>
            <w:vAlign w:val="center"/>
          </w:tcPr>
          <w:p w14:paraId="05B157AC">
            <w:pPr>
              <w:keepNext w:val="0"/>
              <w:keepLines w:val="0"/>
              <w:widowControl/>
              <w:suppressLineNumbers w:val="0"/>
              <w:spacing w:before="0" w:beforeAutospacing="0" w:after="0" w:afterAutospacing="0"/>
              <w:ind w:left="0" w:right="0"/>
              <w:jc w:val="center"/>
              <w:rPr>
                <w:rFonts w:hint="default" w:eastAsia="等线" w:cs="Arial"/>
                <w:b w:val="0"/>
                <w:bCs w:val="0"/>
                <w:i w:val="0"/>
                <w:iCs w:val="0"/>
                <w:color w:val="000000"/>
                <w:sz w:val="18"/>
                <w:szCs w:val="18"/>
                <w:u w:val="none"/>
                <w:lang w:val="en-US" w:eastAsia="zh-CN"/>
              </w:rPr>
            </w:pPr>
            <w:r>
              <w:rPr>
                <w:rFonts w:hint="eastAsia" w:eastAsia="等线" w:cs="Arial"/>
                <w:b w:val="0"/>
                <w:bCs w:val="0"/>
                <w:i w:val="0"/>
                <w:iCs w:val="0"/>
                <w:color w:val="000000"/>
                <w:sz w:val="18"/>
                <w:szCs w:val="18"/>
                <w:u w:val="none"/>
                <w:lang w:val="en-US" w:eastAsia="zh-CN"/>
              </w:rPr>
              <w:t>2.4</w:t>
            </w:r>
          </w:p>
        </w:tc>
        <w:tc>
          <w:tcPr>
            <w:tcW w:w="1319" w:type="dxa"/>
            <w:shd w:val="clear" w:color="auto" w:fill="auto"/>
            <w:vAlign w:val="center"/>
          </w:tcPr>
          <w:p w14:paraId="5490CCF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毛坯重量</w:t>
            </w:r>
          </w:p>
        </w:tc>
        <w:tc>
          <w:tcPr>
            <w:tcW w:w="1387" w:type="dxa"/>
            <w:shd w:val="clear" w:color="auto" w:fill="auto"/>
            <w:vAlign w:val="center"/>
          </w:tcPr>
          <w:p w14:paraId="18A411F5">
            <w:pPr>
              <w:keepNext w:val="0"/>
              <w:keepLines w:val="0"/>
              <w:widowControl/>
              <w:suppressLineNumbers w:val="0"/>
              <w:spacing w:before="0" w:beforeAutospacing="0" w:after="0" w:afterAutospacing="0"/>
              <w:ind w:left="0" w:leftChars="0" w:right="0" w:rightChars="0"/>
              <w:jc w:val="center"/>
              <w:textAlignment w:val="center"/>
              <w:rPr>
                <w:rFonts w:hint="default" w:ascii="Arial" w:hAnsi="Arial" w:eastAsia="等线" w:cs="Arial"/>
                <w:b w:val="0"/>
                <w:bCs w:val="0"/>
                <w:i w:val="0"/>
                <w:iCs w:val="0"/>
                <w:snapToGrid w:val="0"/>
                <w:color w:val="000000"/>
                <w:kern w:val="0"/>
                <w:sz w:val="18"/>
                <w:szCs w:val="18"/>
                <w:u w:val="none"/>
                <w:lang w:val="en-US" w:eastAsia="zh-CN" w:bidi="ar"/>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shd w:val="clear" w:color="auto" w:fill="auto"/>
            <w:vAlign w:val="center"/>
          </w:tcPr>
          <w:p w14:paraId="06F7356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
              </w:rPr>
            </w:pPr>
            <w:r>
              <w:rPr>
                <w:rFonts w:hint="eastAsia" w:ascii="宋体" w:hAnsi="宋体" w:eastAsia="宋体" w:cs="宋体"/>
                <w:b w:val="0"/>
                <w:bCs w:val="0"/>
                <w:i w:val="0"/>
                <w:iCs w:val="0"/>
                <w:snapToGrid w:val="0"/>
                <w:color w:val="000000"/>
                <w:kern w:val="0"/>
                <w:sz w:val="18"/>
                <w:szCs w:val="18"/>
                <w:u w:val="none"/>
                <w:lang w:val="en-US" w:eastAsia="zh-CN" w:bidi="ar"/>
              </w:rPr>
              <w:t>地磅</w:t>
            </w:r>
          </w:p>
        </w:tc>
        <w:tc>
          <w:tcPr>
            <w:tcW w:w="3876" w:type="dxa"/>
            <w:shd w:val="clear" w:color="auto" w:fill="auto"/>
            <w:vAlign w:val="center"/>
          </w:tcPr>
          <w:p w14:paraId="039FA80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SA"/>
              </w:rPr>
            </w:pPr>
            <w:r>
              <w:rPr>
                <w:rFonts w:hint="eastAsia" w:ascii="宋体" w:hAnsi="宋体" w:eastAsia="宋体" w:cs="宋体"/>
                <w:b w:val="0"/>
                <w:bCs w:val="0"/>
                <w:i w:val="0"/>
                <w:iCs w:val="0"/>
                <w:color w:val="000000"/>
                <w:sz w:val="18"/>
                <w:szCs w:val="18"/>
                <w:u w:val="none"/>
                <w:lang w:val="en-US" w:eastAsia="zh-CN"/>
              </w:rPr>
              <w:t>按实际过磅重量结算，结算重量上限不超过设计理论重量的3%</w:t>
            </w:r>
          </w:p>
        </w:tc>
      </w:tr>
      <w:tr w14:paraId="62865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restart"/>
            <w:shd w:val="clear" w:color="auto" w:fill="auto"/>
            <w:vAlign w:val="center"/>
          </w:tcPr>
          <w:p w14:paraId="40CD753C">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lang w:val="en-US" w:eastAsia="zh-CN"/>
              </w:rPr>
            </w:pPr>
            <w:r>
              <w:rPr>
                <w:rFonts w:hint="eastAsia" w:eastAsia="等线" w:cs="Arial"/>
                <w:b w:val="0"/>
                <w:bCs w:val="0"/>
                <w:i w:val="0"/>
                <w:iCs w:val="0"/>
                <w:color w:val="000000"/>
                <w:sz w:val="18"/>
                <w:szCs w:val="18"/>
                <w:u w:val="none"/>
                <w:lang w:val="en-US" w:eastAsia="zh-CN"/>
              </w:rPr>
              <w:t>2.5</w:t>
            </w:r>
          </w:p>
        </w:tc>
        <w:tc>
          <w:tcPr>
            <w:tcW w:w="1319" w:type="dxa"/>
            <w:vMerge w:val="restart"/>
            <w:shd w:val="clear" w:color="auto" w:fill="auto"/>
            <w:vAlign w:val="center"/>
          </w:tcPr>
          <w:p w14:paraId="028A645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en-US" w:bidi="ar-SA"/>
              </w:rPr>
            </w:pPr>
            <w:r>
              <w:rPr>
                <w:rFonts w:hint="eastAsia" w:ascii="宋体" w:hAnsi="宋体" w:eastAsia="宋体" w:cs="宋体"/>
                <w:b w:val="0"/>
                <w:bCs w:val="0"/>
                <w:i w:val="0"/>
                <w:iCs w:val="0"/>
                <w:snapToGrid w:val="0"/>
                <w:color w:val="000000"/>
                <w:kern w:val="0"/>
                <w:sz w:val="18"/>
                <w:szCs w:val="18"/>
                <w:u w:val="none"/>
                <w:lang w:val="en-US" w:eastAsia="zh-CN" w:bidi="ar"/>
              </w:rPr>
              <w:t>零件加工尺寸检验（含重要加工面粗糙度及形位公差）</w:t>
            </w:r>
          </w:p>
        </w:tc>
        <w:tc>
          <w:tcPr>
            <w:tcW w:w="1387" w:type="dxa"/>
            <w:shd w:val="clear" w:color="auto" w:fill="auto"/>
            <w:vAlign w:val="center"/>
          </w:tcPr>
          <w:p w14:paraId="2B86C3F8">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等线" w:cs="Arial"/>
                <w:b w:val="0"/>
                <w:bCs w:val="0"/>
                <w:i w:val="0"/>
                <w:iCs w:val="0"/>
                <w:snapToGrid w:val="0"/>
                <w:color w:val="FF0000"/>
                <w:kern w:val="0"/>
                <w:sz w:val="18"/>
                <w:szCs w:val="18"/>
                <w:u w:val="none"/>
                <w:lang w:val="en-US" w:eastAsia="zh-CN" w:bidi="ar-SA"/>
              </w:rPr>
            </w:pPr>
            <w:r>
              <w:rPr>
                <w:rFonts w:hint="default" w:ascii="Arial" w:hAnsi="Arial" w:eastAsia="等线" w:cs="Arial"/>
                <w:b w:val="0"/>
                <w:bCs w:val="0"/>
                <w:i w:val="0"/>
                <w:iCs w:val="0"/>
                <w:snapToGrid w:val="0"/>
                <w:color w:val="000000"/>
                <w:kern w:val="0"/>
                <w:sz w:val="18"/>
                <w:szCs w:val="18"/>
                <w:u w:val="none"/>
                <w:lang w:val="en-US" w:eastAsia="zh-CN" w:bidi="ar"/>
              </w:rPr>
              <w:t>JB/T 11194.2 - 3.11.1</w:t>
            </w:r>
          </w:p>
        </w:tc>
        <w:tc>
          <w:tcPr>
            <w:tcW w:w="1200" w:type="dxa"/>
            <w:vMerge w:val="restart"/>
            <w:shd w:val="clear" w:color="auto" w:fill="auto"/>
            <w:vAlign w:val="center"/>
          </w:tcPr>
          <w:p w14:paraId="26B0708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en-US" w:bidi="ar-SA"/>
              </w:rPr>
            </w:pPr>
            <w:r>
              <w:rPr>
                <w:rFonts w:hint="eastAsia" w:ascii="宋体" w:hAnsi="宋体" w:eastAsia="宋体" w:cs="宋体"/>
                <w:b w:val="0"/>
                <w:bCs w:val="0"/>
                <w:i w:val="0"/>
                <w:iCs w:val="0"/>
                <w:snapToGrid w:val="0"/>
                <w:color w:val="000000"/>
                <w:kern w:val="0"/>
                <w:sz w:val="18"/>
                <w:szCs w:val="18"/>
                <w:u w:val="none"/>
                <w:lang w:val="en-US" w:eastAsia="zh-CN" w:bidi="ar"/>
              </w:rPr>
              <w:t>游标卡尺、千分尺、百分表、深度尺</w:t>
            </w:r>
          </w:p>
        </w:tc>
        <w:tc>
          <w:tcPr>
            <w:tcW w:w="3876" w:type="dxa"/>
            <w:vMerge w:val="restart"/>
            <w:shd w:val="clear" w:color="auto" w:fill="auto"/>
            <w:vAlign w:val="center"/>
          </w:tcPr>
          <w:p w14:paraId="4642083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SA"/>
              </w:rPr>
            </w:pPr>
            <w:r>
              <w:rPr>
                <w:rFonts w:hint="eastAsia" w:ascii="宋体" w:hAnsi="宋体" w:eastAsia="宋体" w:cs="宋体"/>
                <w:b w:val="0"/>
                <w:bCs w:val="0"/>
                <w:i w:val="0"/>
                <w:iCs w:val="0"/>
                <w:color w:val="000000"/>
                <w:sz w:val="18"/>
                <w:szCs w:val="18"/>
                <w:u w:val="none"/>
                <w:lang w:val="en-US" w:eastAsia="zh-CN"/>
              </w:rPr>
              <w:t>检验记录表（关键尺寸要求双方共检）</w:t>
            </w:r>
          </w:p>
        </w:tc>
      </w:tr>
      <w:tr w14:paraId="66179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4E5758C6">
            <w:pPr>
              <w:keepNext w:val="0"/>
              <w:keepLines w:val="0"/>
              <w:widowControl/>
              <w:suppressLineNumbers w:val="0"/>
              <w:spacing w:before="0" w:beforeAutospacing="0" w:after="0" w:afterAutospacing="0"/>
              <w:ind w:left="0" w:right="0"/>
              <w:jc w:val="center"/>
              <w:rPr>
                <w:rFonts w:hint="default" w:ascii="Arial" w:hAnsi="Arial" w:eastAsia="等线" w:cs="Arial"/>
                <w:b/>
                <w:bCs/>
                <w:i w:val="0"/>
                <w:iCs w:val="0"/>
                <w:color w:val="000000"/>
                <w:sz w:val="18"/>
                <w:szCs w:val="18"/>
                <w:u w:val="none"/>
              </w:rPr>
            </w:pPr>
          </w:p>
        </w:tc>
        <w:tc>
          <w:tcPr>
            <w:tcW w:w="1319" w:type="dxa"/>
            <w:vMerge w:val="continue"/>
            <w:shd w:val="clear" w:color="auto" w:fill="auto"/>
            <w:vAlign w:val="center"/>
          </w:tcPr>
          <w:p w14:paraId="3096DFF8">
            <w:pPr>
              <w:keepNext w:val="0"/>
              <w:keepLines w:val="0"/>
              <w:widowControl/>
              <w:suppressLineNumbers w:val="0"/>
              <w:spacing w:before="0" w:beforeAutospacing="0" w:after="0" w:afterAutospacing="0"/>
              <w:ind w:left="0" w:right="0"/>
              <w:jc w:val="both"/>
              <w:rPr>
                <w:rFonts w:hint="eastAsia" w:ascii="宋体" w:hAnsi="宋体" w:eastAsia="宋体" w:cs="宋体"/>
                <w:b/>
                <w:bCs/>
                <w:i w:val="0"/>
                <w:iCs w:val="0"/>
                <w:color w:val="000000"/>
                <w:sz w:val="18"/>
                <w:szCs w:val="18"/>
                <w:u w:val="none"/>
              </w:rPr>
            </w:pPr>
          </w:p>
        </w:tc>
        <w:tc>
          <w:tcPr>
            <w:tcW w:w="1387" w:type="dxa"/>
            <w:shd w:val="clear" w:color="auto" w:fill="auto"/>
            <w:vAlign w:val="center"/>
          </w:tcPr>
          <w:p w14:paraId="32325CC5">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等线" w:cs="Arial"/>
                <w:b w:val="0"/>
                <w:bCs w:val="0"/>
                <w:i w:val="0"/>
                <w:iCs w:val="0"/>
                <w:snapToGrid w:val="0"/>
                <w:color w:val="000000"/>
                <w:kern w:val="0"/>
                <w:sz w:val="18"/>
                <w:szCs w:val="18"/>
                <w:u w:val="none"/>
                <w:lang w:val="en-US" w:eastAsia="zh-CN" w:bidi="ar-SA"/>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75A05B73">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3876" w:type="dxa"/>
            <w:vMerge w:val="continue"/>
            <w:shd w:val="clear" w:color="auto" w:fill="auto"/>
            <w:vAlign w:val="center"/>
          </w:tcPr>
          <w:p w14:paraId="2796EF95">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r>
      <w:tr w14:paraId="45E35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066D8D13">
            <w:pPr>
              <w:keepNext w:val="0"/>
              <w:keepLines w:val="0"/>
              <w:widowControl/>
              <w:suppressLineNumbers w:val="0"/>
              <w:spacing w:before="0" w:beforeAutospacing="0" w:after="0" w:afterAutospacing="0"/>
              <w:ind w:left="0" w:right="0"/>
              <w:jc w:val="center"/>
              <w:rPr>
                <w:rFonts w:hint="default" w:ascii="Arial" w:hAnsi="Arial" w:eastAsia="等线" w:cs="Arial"/>
                <w:b/>
                <w:bCs/>
                <w:i w:val="0"/>
                <w:iCs w:val="0"/>
                <w:color w:val="000000"/>
                <w:sz w:val="18"/>
                <w:szCs w:val="18"/>
                <w:u w:val="none"/>
              </w:rPr>
            </w:pPr>
          </w:p>
        </w:tc>
        <w:tc>
          <w:tcPr>
            <w:tcW w:w="1319" w:type="dxa"/>
            <w:vMerge w:val="continue"/>
            <w:shd w:val="clear" w:color="auto" w:fill="auto"/>
            <w:vAlign w:val="center"/>
          </w:tcPr>
          <w:p w14:paraId="2A374EDF">
            <w:pPr>
              <w:keepNext w:val="0"/>
              <w:keepLines w:val="0"/>
              <w:widowControl/>
              <w:suppressLineNumbers w:val="0"/>
              <w:spacing w:before="0" w:beforeAutospacing="0" w:after="0" w:afterAutospacing="0"/>
              <w:ind w:left="0" w:right="0"/>
              <w:jc w:val="both"/>
              <w:rPr>
                <w:rFonts w:hint="eastAsia" w:ascii="宋体" w:hAnsi="宋体" w:eastAsia="宋体" w:cs="宋体"/>
                <w:b/>
                <w:bCs/>
                <w:i w:val="0"/>
                <w:iCs w:val="0"/>
                <w:color w:val="000000"/>
                <w:sz w:val="18"/>
                <w:szCs w:val="18"/>
                <w:u w:val="none"/>
              </w:rPr>
            </w:pPr>
          </w:p>
        </w:tc>
        <w:tc>
          <w:tcPr>
            <w:tcW w:w="1387" w:type="dxa"/>
            <w:shd w:val="clear" w:color="auto" w:fill="auto"/>
            <w:vAlign w:val="center"/>
          </w:tcPr>
          <w:p w14:paraId="71EB4DD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val="0"/>
                <w:bCs w:val="0"/>
                <w:i w:val="0"/>
                <w:iCs w:val="0"/>
                <w:snapToGrid w:val="0"/>
                <w:color w:val="000000"/>
                <w:kern w:val="0"/>
                <w:sz w:val="18"/>
                <w:szCs w:val="18"/>
                <w:u w:val="none"/>
                <w:lang w:val="en-US" w:eastAsia="zh-CN" w:bidi="ar-SA"/>
              </w:rPr>
            </w:pPr>
            <w:r>
              <w:rPr>
                <w:rFonts w:hint="eastAsia" w:ascii="宋体" w:hAnsi="宋体" w:eastAsia="宋体" w:cs="宋体"/>
                <w:b w:val="0"/>
                <w:bCs w:val="0"/>
                <w:i w:val="0"/>
                <w:iCs w:val="0"/>
                <w:snapToGrid w:val="0"/>
                <w:color w:val="000000"/>
                <w:kern w:val="0"/>
                <w:sz w:val="18"/>
                <w:szCs w:val="18"/>
                <w:u w:val="none"/>
                <w:lang w:val="en-US" w:eastAsia="zh-CN" w:bidi="ar"/>
              </w:rPr>
              <w:t>设计图纸</w:t>
            </w:r>
          </w:p>
        </w:tc>
        <w:tc>
          <w:tcPr>
            <w:tcW w:w="1200" w:type="dxa"/>
            <w:vMerge w:val="continue"/>
            <w:shd w:val="clear" w:color="auto" w:fill="auto"/>
            <w:vAlign w:val="center"/>
          </w:tcPr>
          <w:p w14:paraId="5576C0DB">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3876" w:type="dxa"/>
            <w:vMerge w:val="continue"/>
            <w:shd w:val="clear" w:color="auto" w:fill="auto"/>
            <w:vAlign w:val="center"/>
          </w:tcPr>
          <w:p w14:paraId="253B10D1">
            <w:pPr>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r>
      <w:tr w14:paraId="19E8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1" w:hRule="atLeast"/>
        </w:trPr>
        <w:tc>
          <w:tcPr>
            <w:tcW w:w="719" w:type="dxa"/>
            <w:shd w:val="clear" w:color="auto" w:fill="auto"/>
            <w:vAlign w:val="center"/>
          </w:tcPr>
          <w:p w14:paraId="17C04B1A">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bCs/>
                <w:i w:val="0"/>
                <w:iCs w:val="0"/>
                <w:color w:val="000000"/>
                <w:sz w:val="18"/>
                <w:szCs w:val="18"/>
                <w:u w:val="none"/>
              </w:rPr>
            </w:pPr>
            <w:r>
              <w:rPr>
                <w:rFonts w:hint="default" w:ascii="Arial" w:hAnsi="Arial" w:eastAsia="等线" w:cs="Arial"/>
                <w:b/>
                <w:bCs/>
                <w:i w:val="0"/>
                <w:iCs w:val="0"/>
                <w:snapToGrid w:val="0"/>
                <w:color w:val="000000"/>
                <w:kern w:val="0"/>
                <w:sz w:val="18"/>
                <w:szCs w:val="18"/>
                <w:u w:val="none"/>
                <w:lang w:val="en-US" w:eastAsia="zh-CN" w:bidi="ar"/>
              </w:rPr>
              <w:t>3</w:t>
            </w:r>
          </w:p>
        </w:tc>
        <w:tc>
          <w:tcPr>
            <w:tcW w:w="7782" w:type="dxa"/>
            <w:gridSpan w:val="4"/>
            <w:shd w:val="clear" w:color="auto" w:fill="auto"/>
            <w:vAlign w:val="center"/>
          </w:tcPr>
          <w:p w14:paraId="0AF4D6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Style w:val="9"/>
                <w:rFonts w:hint="eastAsia"/>
                <w:b/>
                <w:bCs/>
                <w:snapToGrid w:val="0"/>
                <w:color w:val="000000"/>
                <w:sz w:val="21"/>
                <w:szCs w:val="21"/>
                <w:lang w:val="en-US" w:eastAsia="zh-CN" w:bidi="ar"/>
              </w:rPr>
              <w:t>精加工件包装防护要求</w:t>
            </w:r>
          </w:p>
        </w:tc>
      </w:tr>
      <w:tr w14:paraId="293F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29A72A13">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3.1</w:t>
            </w:r>
          </w:p>
        </w:tc>
        <w:tc>
          <w:tcPr>
            <w:tcW w:w="1319" w:type="dxa"/>
            <w:vMerge w:val="restart"/>
            <w:shd w:val="clear" w:color="auto" w:fill="auto"/>
            <w:vAlign w:val="center"/>
          </w:tcPr>
          <w:p w14:paraId="1872F4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包装</w:t>
            </w:r>
          </w:p>
        </w:tc>
        <w:tc>
          <w:tcPr>
            <w:tcW w:w="1387" w:type="dxa"/>
            <w:shd w:val="clear" w:color="auto" w:fill="auto"/>
            <w:vAlign w:val="center"/>
          </w:tcPr>
          <w:p w14:paraId="33BEC50F">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JB/T 8356</w:t>
            </w:r>
          </w:p>
        </w:tc>
        <w:tc>
          <w:tcPr>
            <w:tcW w:w="1200" w:type="dxa"/>
            <w:vMerge w:val="restart"/>
            <w:shd w:val="clear" w:color="auto" w:fill="auto"/>
            <w:vAlign w:val="center"/>
          </w:tcPr>
          <w:p w14:paraId="150677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目测</w:t>
            </w:r>
          </w:p>
        </w:tc>
        <w:tc>
          <w:tcPr>
            <w:tcW w:w="3876" w:type="dxa"/>
            <w:vMerge w:val="restart"/>
            <w:shd w:val="clear" w:color="auto" w:fill="auto"/>
            <w:vAlign w:val="center"/>
          </w:tcPr>
          <w:p w14:paraId="0CEFCA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Style w:val="11"/>
                <w:b w:val="0"/>
                <w:bCs w:val="0"/>
                <w:snapToGrid w:val="0"/>
                <w:color w:val="000000"/>
                <w:sz w:val="18"/>
                <w:szCs w:val="18"/>
                <w:lang w:val="en-US" w:eastAsia="zh-CN" w:bidi="ar"/>
              </w:rPr>
              <w:t>包装要求应符合</w:t>
            </w:r>
            <w:r>
              <w:rPr>
                <w:rStyle w:val="12"/>
                <w:rFonts w:eastAsia="宋体"/>
                <w:b w:val="0"/>
                <w:bCs w:val="0"/>
                <w:snapToGrid w:val="0"/>
                <w:color w:val="000000"/>
                <w:sz w:val="18"/>
                <w:szCs w:val="18"/>
                <w:lang w:val="en-US" w:eastAsia="zh-CN" w:bidi="ar"/>
              </w:rPr>
              <w:t xml:space="preserve">JB/T 8356 </w:t>
            </w:r>
            <w:r>
              <w:rPr>
                <w:rStyle w:val="11"/>
                <w:b w:val="0"/>
                <w:bCs w:val="0"/>
                <w:snapToGrid w:val="0"/>
                <w:color w:val="000000"/>
                <w:sz w:val="18"/>
                <w:szCs w:val="18"/>
                <w:lang w:val="en-US" w:eastAsia="zh-CN" w:bidi="ar"/>
              </w:rPr>
              <w:t>的规定；</w:t>
            </w:r>
            <w:r>
              <w:rPr>
                <w:rStyle w:val="11"/>
                <w:b w:val="0"/>
                <w:bCs w:val="0"/>
                <w:snapToGrid w:val="0"/>
                <w:color w:val="000000"/>
                <w:sz w:val="18"/>
                <w:szCs w:val="18"/>
                <w:lang w:val="en-US" w:eastAsia="zh-CN" w:bidi="ar"/>
              </w:rPr>
              <w:br w:type="textWrapping"/>
            </w:r>
            <w:r>
              <w:rPr>
                <w:rStyle w:val="11"/>
                <w:b w:val="0"/>
                <w:bCs w:val="0"/>
                <w:snapToGrid w:val="0"/>
                <w:color w:val="000000"/>
                <w:sz w:val="18"/>
                <w:szCs w:val="18"/>
                <w:lang w:val="en-US" w:eastAsia="zh-CN" w:bidi="ar"/>
              </w:rPr>
              <w:t>装箱资料应至少包括合格证、说明书、装箱清单；</w:t>
            </w:r>
          </w:p>
        </w:tc>
      </w:tr>
      <w:tr w14:paraId="18668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19" w:type="dxa"/>
            <w:vMerge w:val="continue"/>
            <w:shd w:val="clear" w:color="auto" w:fill="auto"/>
            <w:vAlign w:val="center"/>
          </w:tcPr>
          <w:p w14:paraId="1D631F11">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3A91E99F">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1467F1F3">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JB/T 11194.2 - 6</w:t>
            </w:r>
          </w:p>
        </w:tc>
        <w:tc>
          <w:tcPr>
            <w:tcW w:w="1200" w:type="dxa"/>
            <w:vMerge w:val="continue"/>
            <w:shd w:val="clear" w:color="auto" w:fill="auto"/>
            <w:vAlign w:val="center"/>
          </w:tcPr>
          <w:p w14:paraId="2F77C0F7">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72BC9984">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00E4E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45FF4B5D">
            <w:pPr>
              <w:keepNext w:val="0"/>
              <w:keepLines w:val="0"/>
              <w:widowControl/>
              <w:suppressLineNumbers w:val="0"/>
              <w:spacing w:before="0" w:beforeAutospacing="0" w:after="0" w:afterAutospacing="0"/>
              <w:ind w:left="0" w:right="0"/>
              <w:jc w:val="center"/>
              <w:rPr>
                <w:rFonts w:hint="default" w:ascii="Arial" w:hAnsi="Arial" w:eastAsia="等线" w:cs="Arial"/>
                <w:b w:val="0"/>
                <w:bCs w:val="0"/>
                <w:i w:val="0"/>
                <w:iCs w:val="0"/>
                <w:color w:val="000000"/>
                <w:sz w:val="18"/>
                <w:szCs w:val="18"/>
                <w:u w:val="none"/>
              </w:rPr>
            </w:pPr>
          </w:p>
        </w:tc>
        <w:tc>
          <w:tcPr>
            <w:tcW w:w="1319" w:type="dxa"/>
            <w:vMerge w:val="continue"/>
            <w:shd w:val="clear" w:color="auto" w:fill="auto"/>
            <w:vAlign w:val="center"/>
          </w:tcPr>
          <w:p w14:paraId="6E05FFFE">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1387" w:type="dxa"/>
            <w:shd w:val="clear" w:color="auto" w:fill="auto"/>
            <w:vAlign w:val="center"/>
          </w:tcPr>
          <w:p w14:paraId="59712A6D">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28FD6A7F">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c>
          <w:tcPr>
            <w:tcW w:w="3876" w:type="dxa"/>
            <w:vMerge w:val="continue"/>
            <w:shd w:val="clear" w:color="auto" w:fill="auto"/>
            <w:vAlign w:val="center"/>
          </w:tcPr>
          <w:p w14:paraId="6AC60560">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i w:val="0"/>
                <w:iCs w:val="0"/>
                <w:color w:val="000000"/>
                <w:sz w:val="18"/>
                <w:szCs w:val="18"/>
                <w:u w:val="none"/>
              </w:rPr>
            </w:pPr>
          </w:p>
        </w:tc>
      </w:tr>
      <w:tr w14:paraId="7DB2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trPr>
        <w:tc>
          <w:tcPr>
            <w:tcW w:w="719" w:type="dxa"/>
            <w:vMerge w:val="restart"/>
            <w:shd w:val="clear" w:color="auto" w:fill="auto"/>
            <w:vAlign w:val="center"/>
          </w:tcPr>
          <w:p w14:paraId="71E73200">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00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3.2</w:t>
            </w:r>
          </w:p>
        </w:tc>
        <w:tc>
          <w:tcPr>
            <w:tcW w:w="1319" w:type="dxa"/>
            <w:vMerge w:val="restart"/>
            <w:shd w:val="clear" w:color="auto" w:fill="auto"/>
            <w:vAlign w:val="center"/>
          </w:tcPr>
          <w:p w14:paraId="06C528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贮存</w:t>
            </w:r>
          </w:p>
        </w:tc>
        <w:tc>
          <w:tcPr>
            <w:tcW w:w="1387" w:type="dxa"/>
            <w:shd w:val="clear" w:color="auto" w:fill="auto"/>
            <w:vAlign w:val="center"/>
          </w:tcPr>
          <w:p w14:paraId="3E1D0489">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val="0"/>
                <w:bCs w:val="0"/>
                <w:i w:val="0"/>
                <w:iCs w:val="0"/>
                <w:color w:val="FF0000"/>
                <w:sz w:val="18"/>
                <w:szCs w:val="18"/>
                <w:u w:val="none"/>
              </w:rPr>
            </w:pPr>
            <w:r>
              <w:rPr>
                <w:rFonts w:hint="default" w:ascii="Arial" w:hAnsi="Arial" w:eastAsia="等线" w:cs="Arial"/>
                <w:b w:val="0"/>
                <w:bCs w:val="0"/>
                <w:i w:val="0"/>
                <w:iCs w:val="0"/>
                <w:snapToGrid w:val="0"/>
                <w:color w:val="000000"/>
                <w:kern w:val="0"/>
                <w:sz w:val="18"/>
                <w:szCs w:val="18"/>
                <w:u w:val="none"/>
                <w:lang w:val="en-US" w:eastAsia="zh-CN" w:bidi="ar"/>
              </w:rPr>
              <w:t>JB/T 11194.2 - 6.5</w:t>
            </w:r>
          </w:p>
        </w:tc>
        <w:tc>
          <w:tcPr>
            <w:tcW w:w="1200" w:type="dxa"/>
            <w:vMerge w:val="restart"/>
            <w:shd w:val="clear" w:color="auto" w:fill="auto"/>
            <w:vAlign w:val="center"/>
          </w:tcPr>
          <w:p w14:paraId="47805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目测</w:t>
            </w:r>
          </w:p>
        </w:tc>
        <w:tc>
          <w:tcPr>
            <w:tcW w:w="3876" w:type="dxa"/>
            <w:vMerge w:val="restart"/>
            <w:shd w:val="clear" w:color="auto" w:fill="auto"/>
            <w:vAlign w:val="center"/>
          </w:tcPr>
          <w:p w14:paraId="6C946D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snapToGrid w:val="0"/>
                <w:color w:val="000000"/>
                <w:kern w:val="0"/>
                <w:sz w:val="18"/>
                <w:szCs w:val="18"/>
                <w:u w:val="none"/>
                <w:lang w:val="en-US" w:eastAsia="zh-CN" w:bidi="ar"/>
              </w:rPr>
              <w:t>应在干燥、通风、防雨的地方贮存。</w:t>
            </w:r>
          </w:p>
        </w:tc>
      </w:tr>
      <w:tr w14:paraId="57AF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 w:hRule="atLeast"/>
        </w:trPr>
        <w:tc>
          <w:tcPr>
            <w:tcW w:w="719" w:type="dxa"/>
            <w:vMerge w:val="continue"/>
            <w:shd w:val="clear" w:color="auto" w:fill="auto"/>
            <w:vAlign w:val="center"/>
          </w:tcPr>
          <w:p w14:paraId="36F19CB1">
            <w:pPr>
              <w:keepNext w:val="0"/>
              <w:keepLines w:val="0"/>
              <w:widowControl/>
              <w:suppressLineNumbers w:val="0"/>
              <w:spacing w:before="0" w:beforeAutospacing="0" w:after="0" w:afterAutospacing="0"/>
              <w:ind w:left="0" w:right="0"/>
              <w:jc w:val="center"/>
              <w:rPr>
                <w:rFonts w:hint="default" w:ascii="Arial" w:hAnsi="Arial" w:eastAsia="等线" w:cs="Arial"/>
                <w:b/>
                <w:bCs/>
                <w:i w:val="0"/>
                <w:iCs w:val="0"/>
                <w:color w:val="000000"/>
                <w:sz w:val="18"/>
                <w:szCs w:val="18"/>
                <w:u w:val="none"/>
              </w:rPr>
            </w:pPr>
          </w:p>
        </w:tc>
        <w:tc>
          <w:tcPr>
            <w:tcW w:w="1319" w:type="dxa"/>
            <w:vMerge w:val="continue"/>
            <w:shd w:val="clear" w:color="auto" w:fill="auto"/>
            <w:vAlign w:val="center"/>
          </w:tcPr>
          <w:p w14:paraId="33C3DE52">
            <w:pPr>
              <w:keepNext w:val="0"/>
              <w:keepLines w:val="0"/>
              <w:widowControl/>
              <w:suppressLineNumbers w:val="0"/>
              <w:spacing w:before="0" w:beforeAutospacing="0" w:after="0" w:afterAutospacing="0"/>
              <w:ind w:left="0" w:right="0"/>
              <w:jc w:val="both"/>
              <w:rPr>
                <w:rFonts w:hint="eastAsia" w:ascii="宋体" w:hAnsi="宋体" w:eastAsia="宋体" w:cs="宋体"/>
                <w:b/>
                <w:bCs/>
                <w:i w:val="0"/>
                <w:iCs w:val="0"/>
                <w:color w:val="000000"/>
                <w:sz w:val="18"/>
                <w:szCs w:val="18"/>
                <w:u w:val="none"/>
              </w:rPr>
            </w:pPr>
          </w:p>
        </w:tc>
        <w:tc>
          <w:tcPr>
            <w:tcW w:w="1387" w:type="dxa"/>
            <w:shd w:val="clear" w:color="auto" w:fill="auto"/>
            <w:vAlign w:val="center"/>
          </w:tcPr>
          <w:p w14:paraId="08AB3484">
            <w:pPr>
              <w:keepNext w:val="0"/>
              <w:keepLines w:val="0"/>
              <w:widowControl/>
              <w:suppressLineNumbers w:val="0"/>
              <w:spacing w:before="0" w:beforeAutospacing="0" w:after="0" w:afterAutospacing="0"/>
              <w:ind w:left="0" w:right="0"/>
              <w:jc w:val="center"/>
              <w:textAlignment w:val="center"/>
              <w:rPr>
                <w:rFonts w:hint="default" w:ascii="Arial" w:hAnsi="Arial" w:eastAsia="等线" w:cs="Arial"/>
                <w:b/>
                <w:bCs/>
                <w:i w:val="0"/>
                <w:iCs w:val="0"/>
                <w:color w:val="000000"/>
                <w:sz w:val="18"/>
                <w:szCs w:val="18"/>
                <w:u w:val="none"/>
              </w:rPr>
            </w:pPr>
            <w:r>
              <w:rPr>
                <w:rFonts w:hint="eastAsia" w:eastAsia="等线" w:cs="Arial"/>
                <w:b w:val="0"/>
                <w:bCs w:val="0"/>
                <w:i w:val="0"/>
                <w:iCs w:val="0"/>
                <w:snapToGrid w:val="0"/>
                <w:color w:val="000000"/>
                <w:kern w:val="0"/>
                <w:sz w:val="18"/>
                <w:szCs w:val="18"/>
                <w:u w:val="none"/>
                <w:lang w:val="en-US" w:eastAsia="zh-CN" w:bidi="ar"/>
              </w:rPr>
              <w:t>技术协议</w:t>
            </w:r>
          </w:p>
        </w:tc>
        <w:tc>
          <w:tcPr>
            <w:tcW w:w="1200" w:type="dxa"/>
            <w:vMerge w:val="continue"/>
            <w:shd w:val="clear" w:color="auto" w:fill="auto"/>
            <w:vAlign w:val="center"/>
          </w:tcPr>
          <w:p w14:paraId="56CDBF2A">
            <w:pPr>
              <w:keepNext w:val="0"/>
              <w:keepLines w:val="0"/>
              <w:widowControl/>
              <w:suppressLineNumbers w:val="0"/>
              <w:spacing w:before="0" w:beforeAutospacing="0" w:after="0" w:afterAutospacing="0"/>
              <w:ind w:left="0" w:right="0"/>
              <w:jc w:val="both"/>
              <w:rPr>
                <w:rFonts w:hint="eastAsia" w:ascii="宋体" w:hAnsi="宋体" w:eastAsia="宋体" w:cs="宋体"/>
                <w:b/>
                <w:bCs/>
                <w:i w:val="0"/>
                <w:iCs w:val="0"/>
                <w:color w:val="000000"/>
                <w:sz w:val="18"/>
                <w:szCs w:val="18"/>
                <w:u w:val="none"/>
              </w:rPr>
            </w:pPr>
          </w:p>
        </w:tc>
        <w:tc>
          <w:tcPr>
            <w:tcW w:w="3876" w:type="dxa"/>
            <w:vMerge w:val="continue"/>
            <w:shd w:val="clear" w:color="auto" w:fill="auto"/>
            <w:vAlign w:val="center"/>
          </w:tcPr>
          <w:p w14:paraId="79317492">
            <w:pPr>
              <w:keepNext w:val="0"/>
              <w:keepLines w:val="0"/>
              <w:widowControl/>
              <w:suppressLineNumbers w:val="0"/>
              <w:spacing w:before="0" w:beforeAutospacing="0" w:after="0" w:afterAutospacing="0"/>
              <w:ind w:left="0" w:right="0"/>
              <w:jc w:val="both"/>
              <w:rPr>
                <w:rFonts w:hint="eastAsia" w:ascii="宋体" w:hAnsi="宋体" w:eastAsia="宋体" w:cs="宋体"/>
                <w:b/>
                <w:bCs/>
                <w:i w:val="0"/>
                <w:iCs w:val="0"/>
                <w:color w:val="000000"/>
                <w:sz w:val="18"/>
                <w:szCs w:val="18"/>
                <w:u w:val="none"/>
              </w:rPr>
            </w:pPr>
          </w:p>
        </w:tc>
      </w:tr>
    </w:tbl>
    <w:p w14:paraId="20B350D2">
      <w:pPr>
        <w:pStyle w:val="2"/>
        <w:numPr>
          <w:ilvl w:val="0"/>
          <w:numId w:val="0"/>
        </w:numPr>
        <w:spacing w:before="231" w:line="220" w:lineRule="auto"/>
        <w:outlineLvl w:val="2"/>
        <w:rPr>
          <w:rFonts w:hint="default"/>
          <w:b/>
          <w:bCs/>
          <w:spacing w:val="-6"/>
          <w:sz w:val="18"/>
          <w:szCs w:val="18"/>
          <w:highlight w:val="yellow"/>
          <w:lang w:val="en-US" w:eastAsia="zh-CN"/>
        </w:rPr>
      </w:pPr>
    </w:p>
    <w:p w14:paraId="4A743166">
      <w:pPr>
        <w:pStyle w:val="2"/>
        <w:spacing w:before="91" w:line="219" w:lineRule="auto"/>
        <w:outlineLvl w:val="1"/>
        <w:rPr>
          <w:b/>
          <w:bCs/>
          <w:spacing w:val="-4"/>
          <w:sz w:val="28"/>
          <w:szCs w:val="28"/>
          <w:highlight w:val="yellow"/>
        </w:rPr>
      </w:pPr>
    </w:p>
    <w:p w14:paraId="023FBDF8">
      <w:pPr>
        <w:rPr>
          <w:b/>
          <w:bCs/>
          <w:spacing w:val="-4"/>
          <w:sz w:val="28"/>
          <w:szCs w:val="28"/>
          <w:highlight w:val="yellow"/>
        </w:rPr>
      </w:pPr>
      <w:r>
        <w:rPr>
          <w:b/>
          <w:bCs/>
          <w:spacing w:val="-4"/>
          <w:sz w:val="28"/>
          <w:szCs w:val="28"/>
          <w:highlight w:val="yellow"/>
        </w:rPr>
        <w:br w:type="page"/>
      </w:r>
    </w:p>
    <w:p w14:paraId="7A113925">
      <w:pPr>
        <w:pStyle w:val="2"/>
        <w:spacing w:before="91" w:line="219" w:lineRule="auto"/>
        <w:outlineLvl w:val="1"/>
        <w:rPr>
          <w:sz w:val="28"/>
          <w:szCs w:val="28"/>
          <w:highlight w:val="none"/>
        </w:rPr>
      </w:pPr>
      <w:r>
        <w:rPr>
          <w:b/>
          <w:bCs/>
          <w:spacing w:val="-4"/>
          <w:sz w:val="28"/>
          <w:szCs w:val="28"/>
          <w:highlight w:val="none"/>
        </w:rPr>
        <w:t>三、供货范围</w:t>
      </w:r>
    </w:p>
    <w:p w14:paraId="7F8F194C">
      <w:pPr>
        <w:pStyle w:val="2"/>
        <w:numPr>
          <w:ilvl w:val="0"/>
          <w:numId w:val="2"/>
        </w:numPr>
        <w:spacing w:before="233" w:line="351" w:lineRule="auto"/>
        <w:ind w:left="425" w:leftChars="0" w:right="60" w:hanging="425" w:firstLineChars="0"/>
        <w:jc w:val="both"/>
        <w:rPr>
          <w:rFonts w:hint="eastAsia"/>
          <w:highlight w:val="none"/>
          <w:lang w:val="en-US" w:eastAsia="zh-CN"/>
        </w:rPr>
      </w:pPr>
      <w:r>
        <w:rPr>
          <w:rFonts w:hint="eastAsia"/>
          <w:highlight w:val="none"/>
          <w:lang w:val="en-US" w:eastAsia="zh-CN"/>
        </w:rPr>
        <w:t>标1：机身上横梁精加工成品 1 件</w:t>
      </w:r>
    </w:p>
    <w:p w14:paraId="110BEEFD">
      <w:pPr>
        <w:pStyle w:val="2"/>
        <w:numPr>
          <w:ilvl w:val="0"/>
          <w:numId w:val="2"/>
        </w:numPr>
        <w:spacing w:before="233" w:line="351" w:lineRule="auto"/>
        <w:ind w:left="425" w:leftChars="0" w:right="60" w:hanging="425" w:firstLineChars="0"/>
        <w:jc w:val="both"/>
        <w:rPr>
          <w:rFonts w:hint="eastAsia"/>
          <w:highlight w:val="none"/>
          <w:lang w:val="en-US" w:eastAsia="zh-CN"/>
        </w:rPr>
      </w:pPr>
      <w:r>
        <w:rPr>
          <w:rFonts w:hint="eastAsia"/>
          <w:highlight w:val="none"/>
          <w:lang w:val="en-US" w:eastAsia="zh-CN"/>
        </w:rPr>
        <w:t>标2：机身底座精加工成品 1 件</w:t>
      </w:r>
    </w:p>
    <w:p w14:paraId="3244AD38">
      <w:pPr>
        <w:pStyle w:val="2"/>
        <w:numPr>
          <w:ilvl w:val="0"/>
          <w:numId w:val="2"/>
        </w:numPr>
        <w:spacing w:before="233" w:line="351" w:lineRule="auto"/>
        <w:ind w:left="425" w:leftChars="0" w:right="60" w:hanging="425" w:firstLineChars="0"/>
        <w:jc w:val="both"/>
        <w:rPr>
          <w:rFonts w:hint="eastAsia"/>
          <w:highlight w:val="none"/>
          <w:lang w:val="en-US" w:eastAsia="zh-CN"/>
        </w:rPr>
      </w:pPr>
      <w:r>
        <w:rPr>
          <w:rFonts w:hint="eastAsia"/>
          <w:highlight w:val="none"/>
          <w:lang w:val="en-US" w:eastAsia="zh-CN"/>
        </w:rPr>
        <w:t>标3：机身左/右立柱精加工成品各 1 件</w:t>
      </w:r>
    </w:p>
    <w:p w14:paraId="17CD439C">
      <w:pPr>
        <w:pStyle w:val="2"/>
        <w:numPr>
          <w:ilvl w:val="0"/>
          <w:numId w:val="2"/>
        </w:numPr>
        <w:spacing w:before="233" w:line="351" w:lineRule="auto"/>
        <w:ind w:left="425" w:leftChars="0" w:right="60" w:hanging="425" w:firstLineChars="0"/>
        <w:jc w:val="both"/>
        <w:rPr>
          <w:rFonts w:hint="eastAsia"/>
          <w:highlight w:val="none"/>
          <w:lang w:val="en-US" w:eastAsia="zh-CN"/>
        </w:rPr>
      </w:pPr>
      <w:r>
        <w:rPr>
          <w:rFonts w:hint="eastAsia"/>
          <w:highlight w:val="none"/>
          <w:lang w:val="en-US" w:eastAsia="zh-CN"/>
        </w:rPr>
        <w:t>标4：</w:t>
      </w:r>
    </w:p>
    <w:p w14:paraId="0A2927CA">
      <w:pPr>
        <w:pStyle w:val="2"/>
        <w:numPr>
          <w:ilvl w:val="0"/>
          <w:numId w:val="3"/>
        </w:numPr>
        <w:spacing w:before="233" w:line="351" w:lineRule="auto"/>
        <w:ind w:left="420" w:leftChars="0" w:right="60" w:rightChars="0" w:hanging="420" w:firstLineChars="0"/>
        <w:jc w:val="both"/>
        <w:rPr>
          <w:rFonts w:hint="eastAsia"/>
          <w:highlight w:val="none"/>
          <w:lang w:val="en-US" w:eastAsia="zh-CN"/>
        </w:rPr>
      </w:pPr>
      <w:r>
        <w:rPr>
          <w:rFonts w:hint="eastAsia"/>
          <w:highlight w:val="none"/>
          <w:lang w:val="en-US" w:eastAsia="zh-CN"/>
        </w:rPr>
        <w:t>滑块精加工成品 1 件</w:t>
      </w:r>
    </w:p>
    <w:p w14:paraId="4AD17D56">
      <w:pPr>
        <w:pStyle w:val="2"/>
        <w:numPr>
          <w:ilvl w:val="0"/>
          <w:numId w:val="4"/>
        </w:numPr>
        <w:spacing w:before="233" w:line="351" w:lineRule="auto"/>
        <w:ind w:left="420" w:leftChars="0" w:right="60" w:hanging="420" w:firstLineChars="0"/>
        <w:jc w:val="both"/>
        <w:rPr>
          <w:rFonts w:hint="default"/>
          <w:highlight w:val="none"/>
          <w:lang w:val="en-US" w:eastAsia="zh-CN"/>
        </w:rPr>
      </w:pPr>
      <w:r>
        <w:rPr>
          <w:rFonts w:hint="eastAsia"/>
          <w:highlight w:val="none"/>
          <w:lang w:val="en-US" w:eastAsia="zh-CN"/>
        </w:rPr>
        <w:t>直驱飞轮、轮毂、飞轮压圈精加工成品各 1 件</w:t>
      </w:r>
    </w:p>
    <w:p w14:paraId="4A0BE4E2">
      <w:pPr>
        <w:spacing w:line="468" w:lineRule="auto"/>
        <w:rPr>
          <w:rFonts w:ascii="Arial"/>
          <w:sz w:val="21"/>
        </w:rPr>
      </w:pPr>
    </w:p>
    <w:p w14:paraId="128624E3">
      <w:pPr>
        <w:pStyle w:val="2"/>
        <w:spacing w:before="91" w:line="220" w:lineRule="auto"/>
        <w:ind w:left="51"/>
        <w:outlineLvl w:val="1"/>
        <w:rPr>
          <w:sz w:val="28"/>
          <w:szCs w:val="28"/>
        </w:rPr>
      </w:pPr>
      <w:r>
        <w:rPr>
          <w:b/>
          <w:bCs/>
          <w:spacing w:val="-7"/>
          <w:sz w:val="28"/>
          <w:szCs w:val="28"/>
        </w:rPr>
        <w:t>四、服务要求</w:t>
      </w:r>
    </w:p>
    <w:p w14:paraId="776457B0">
      <w:pPr>
        <w:pStyle w:val="2"/>
        <w:spacing w:before="36" w:line="346" w:lineRule="auto"/>
        <w:ind w:left="43" w:right="66" w:firstLine="340"/>
        <w:rPr>
          <w:rFonts w:hint="default"/>
          <w:strike/>
          <w:dstrike w:val="0"/>
          <w:lang w:val="en-US" w:eastAsia="zh-CN"/>
        </w:rPr>
      </w:pPr>
      <w:r>
        <w:rPr>
          <w:rFonts w:hint="eastAsia"/>
          <w:lang w:val="en-US" w:eastAsia="zh-CN"/>
        </w:rPr>
        <w:t>4.1上横梁在精加工期间，需方需要在供方现场安装机身上导套及止推轴承座，上导套在装入上横梁后需重新上机床检测导套的变形量，如达不到要求的需要加工上导套内径，止推轴承座安装固定后需要重新上机床加工定位销孔，供方需要为安装上述零件提供场地、工具及起重等一切必需条件</w:t>
      </w:r>
    </w:p>
    <w:p w14:paraId="06362840">
      <w:pPr>
        <w:pStyle w:val="2"/>
        <w:spacing w:before="36" w:line="346" w:lineRule="auto"/>
        <w:ind w:right="66" w:firstLine="480" w:firstLineChars="200"/>
        <w:rPr>
          <w:rFonts w:hint="eastAsia" w:ascii="Arial" w:eastAsia="宋体"/>
          <w:sz w:val="21"/>
          <w:highlight w:val="none"/>
          <w:lang w:eastAsia="zh-CN"/>
        </w:rPr>
      </w:pPr>
      <w:r>
        <w:rPr>
          <w:rFonts w:hint="eastAsia"/>
          <w:highlight w:val="none"/>
          <w:lang w:val="en-US" w:eastAsia="zh-CN"/>
        </w:rPr>
        <w:t xml:space="preserve">4.2 </w:t>
      </w:r>
      <w:r>
        <w:rPr>
          <w:highlight w:val="none"/>
        </w:rPr>
        <w:t>供方负责</w:t>
      </w:r>
      <w:r>
        <w:rPr>
          <w:rFonts w:hint="eastAsia"/>
          <w:highlight w:val="none"/>
          <w:lang w:val="en-US" w:eastAsia="zh-CN"/>
        </w:rPr>
        <w:t>部件运输、产品防护</w:t>
      </w:r>
      <w:r>
        <w:rPr>
          <w:highlight w:val="none"/>
        </w:rPr>
        <w:t>及</w:t>
      </w:r>
      <w:r>
        <w:rPr>
          <w:rFonts w:hint="eastAsia"/>
          <w:highlight w:val="none"/>
          <w:lang w:val="en-US" w:eastAsia="zh-CN"/>
        </w:rPr>
        <w:t>到达终点场地前的</w:t>
      </w:r>
      <w:r>
        <w:rPr>
          <w:highlight w:val="none"/>
        </w:rPr>
        <w:t>安全管理</w:t>
      </w:r>
      <w:r>
        <w:rPr>
          <w:rFonts w:hint="eastAsia"/>
          <w:highlight w:val="none"/>
          <w:lang w:eastAsia="zh-CN"/>
        </w:rPr>
        <w:t>。</w:t>
      </w:r>
    </w:p>
    <w:p w14:paraId="5C29666C">
      <w:pPr>
        <w:pStyle w:val="2"/>
        <w:spacing w:before="91" w:line="220" w:lineRule="auto"/>
        <w:ind w:left="29"/>
        <w:outlineLvl w:val="1"/>
        <w:rPr>
          <w:sz w:val="28"/>
          <w:szCs w:val="28"/>
        </w:rPr>
      </w:pPr>
      <w:r>
        <w:rPr>
          <w:b/>
          <w:bCs/>
          <w:spacing w:val="-4"/>
          <w:sz w:val="28"/>
          <w:szCs w:val="28"/>
        </w:rPr>
        <w:t>五、</w:t>
      </w:r>
      <w:r>
        <w:rPr>
          <w:rFonts w:hint="eastAsia"/>
          <w:b/>
          <w:bCs/>
          <w:spacing w:val="-4"/>
          <w:sz w:val="28"/>
          <w:szCs w:val="28"/>
          <w:lang w:val="en-US" w:eastAsia="zh-CN"/>
        </w:rPr>
        <w:t>监造</w:t>
      </w:r>
      <w:r>
        <w:rPr>
          <w:b/>
          <w:bCs/>
          <w:spacing w:val="-4"/>
          <w:sz w:val="28"/>
          <w:szCs w:val="28"/>
        </w:rPr>
        <w:t>及验收</w:t>
      </w:r>
    </w:p>
    <w:p w14:paraId="44E4384B">
      <w:pPr>
        <w:pStyle w:val="2"/>
        <w:spacing w:before="232" w:line="347" w:lineRule="auto"/>
        <w:ind w:left="507" w:right="720"/>
      </w:pPr>
      <w:r>
        <w:rPr>
          <w:spacing w:val="11"/>
        </w:rPr>
        <w:t xml:space="preserve"> </w:t>
      </w:r>
      <w:r>
        <w:rPr>
          <w:rFonts w:hint="eastAsia"/>
          <w:spacing w:val="-3"/>
          <w:lang w:val="en-US" w:eastAsia="zh-CN"/>
        </w:rPr>
        <w:t>铸件</w:t>
      </w:r>
      <w:r>
        <w:rPr>
          <w:spacing w:val="-3"/>
        </w:rPr>
        <w:t>制造过程中监造、预验收和终验收工作如下：</w:t>
      </w:r>
    </w:p>
    <w:p w14:paraId="1D447055">
      <w:pPr>
        <w:pStyle w:val="2"/>
        <w:spacing w:before="35" w:line="226" w:lineRule="auto"/>
        <w:ind w:firstLine="232" w:firstLineChars="100"/>
      </w:pPr>
      <w:r>
        <w:rPr>
          <w:spacing w:val="-4"/>
        </w:rPr>
        <w:t>5.1</w:t>
      </w:r>
      <w:r>
        <w:rPr>
          <w:spacing w:val="-51"/>
        </w:rPr>
        <w:t xml:space="preserve"> </w:t>
      </w:r>
      <w:r>
        <w:rPr>
          <w:spacing w:val="-4"/>
        </w:rPr>
        <w:t>监造</w:t>
      </w:r>
    </w:p>
    <w:p w14:paraId="0901EA5D">
      <w:pPr>
        <w:pStyle w:val="2"/>
        <w:spacing w:before="173" w:line="351" w:lineRule="auto"/>
        <w:ind w:left="22" w:firstLine="480"/>
        <w:sectPr>
          <w:pgSz w:w="11907" w:h="16839"/>
          <w:pgMar w:top="1431" w:right="1739" w:bottom="0" w:left="1785" w:header="0" w:footer="0" w:gutter="0"/>
          <w:cols w:space="720" w:num="1"/>
        </w:sectPr>
      </w:pPr>
      <w:r>
        <w:rPr>
          <w:spacing w:val="-1"/>
        </w:rPr>
        <w:t>在</w:t>
      </w:r>
      <w:r>
        <w:rPr>
          <w:rFonts w:hint="eastAsia"/>
          <w:spacing w:val="-1"/>
          <w:lang w:val="en-US" w:eastAsia="zh-CN"/>
        </w:rPr>
        <w:t>木模</w:t>
      </w:r>
      <w:r>
        <w:rPr>
          <w:spacing w:val="-1"/>
        </w:rPr>
        <w:t>设计、制造、</w:t>
      </w:r>
      <w:r>
        <w:rPr>
          <w:rFonts w:hint="eastAsia"/>
          <w:spacing w:val="-1"/>
          <w:lang w:val="en-US" w:eastAsia="zh-CN"/>
        </w:rPr>
        <w:t>及铸件制作、加工</w:t>
      </w:r>
      <w:r>
        <w:rPr>
          <w:spacing w:val="-1"/>
        </w:rPr>
        <w:t>期间。需方有权</w:t>
      </w:r>
      <w:r>
        <w:rPr>
          <w:spacing w:val="-2"/>
        </w:rPr>
        <w:t>随时查验进度及制造质量</w:t>
      </w:r>
      <w:r>
        <w:rPr>
          <w:rFonts w:hint="eastAsia"/>
          <w:spacing w:val="-2"/>
          <w:lang w:eastAsia="zh-CN"/>
        </w:rPr>
        <w:t>，</w:t>
      </w:r>
      <w:r>
        <w:rPr>
          <w:rFonts w:hint="eastAsia"/>
          <w:spacing w:val="-2"/>
          <w:lang w:val="en-US" w:eastAsia="zh-CN"/>
        </w:rPr>
        <w:t>有权</w:t>
      </w:r>
      <w:r>
        <w:rPr>
          <w:spacing w:val="-1"/>
        </w:rPr>
        <w:t>对</w:t>
      </w:r>
      <w:r>
        <w:rPr>
          <w:rFonts w:hint="eastAsia"/>
          <w:spacing w:val="-1"/>
          <w:lang w:val="en-US" w:eastAsia="zh-CN"/>
        </w:rPr>
        <w:t>原材料</w:t>
      </w:r>
      <w:r>
        <w:rPr>
          <w:spacing w:val="-2"/>
        </w:rPr>
        <w:t>质量进行抽检核验</w:t>
      </w:r>
      <w:r>
        <w:rPr>
          <w:rFonts w:hint="eastAsia"/>
          <w:spacing w:val="-2"/>
          <w:lang w:eastAsia="zh-CN"/>
        </w:rPr>
        <w:t>、</w:t>
      </w:r>
      <w:r>
        <w:rPr>
          <w:rFonts w:hint="eastAsia"/>
          <w:spacing w:val="-2"/>
          <w:lang w:val="en-US" w:eastAsia="zh-CN"/>
        </w:rPr>
        <w:t>对铸件生产的各工序工艺进行监督、查询，对加工所使用的机床、刀具、计量器具进行查验，对质量控制文件进行查阅。</w:t>
      </w:r>
      <w:r>
        <w:t xml:space="preserve"> </w:t>
      </w:r>
      <w:r>
        <w:rPr>
          <w:spacing w:val="-1"/>
        </w:rPr>
        <w:t>供方在约定范围内</w:t>
      </w:r>
      <w:r>
        <w:rPr>
          <w:rFonts w:hint="eastAsia"/>
          <w:spacing w:val="-1"/>
          <w:lang w:val="en-US" w:eastAsia="zh-CN"/>
        </w:rPr>
        <w:t>需要</w:t>
      </w:r>
      <w:r>
        <w:rPr>
          <w:spacing w:val="-1"/>
        </w:rPr>
        <w:t>配</w:t>
      </w:r>
      <w:r>
        <w:rPr>
          <w:spacing w:val="-2"/>
        </w:rPr>
        <w:t>合需方进行监造及复验。</w:t>
      </w:r>
    </w:p>
    <w:p w14:paraId="5E2C2282">
      <w:pPr>
        <w:pStyle w:val="2"/>
        <w:spacing w:before="121" w:line="220" w:lineRule="auto"/>
        <w:ind w:firstLine="464" w:firstLineChars="200"/>
      </w:pPr>
      <w:r>
        <w:rPr>
          <w:spacing w:val="-4"/>
        </w:rPr>
        <w:t>5.2</w:t>
      </w:r>
      <w:r>
        <w:rPr>
          <w:spacing w:val="-49"/>
        </w:rPr>
        <w:t xml:space="preserve"> </w:t>
      </w:r>
      <w:r>
        <w:rPr>
          <w:rFonts w:hint="eastAsia"/>
          <w:spacing w:val="-49"/>
          <w:lang w:val="en-US" w:eastAsia="zh-CN"/>
        </w:rPr>
        <w:t xml:space="preserve">预 </w:t>
      </w:r>
      <w:r>
        <w:rPr>
          <w:spacing w:val="-4"/>
        </w:rPr>
        <w:t>验收</w:t>
      </w:r>
    </w:p>
    <w:p w14:paraId="2DD3EA41">
      <w:pPr>
        <w:pStyle w:val="2"/>
        <w:spacing w:before="183" w:line="353" w:lineRule="auto"/>
        <w:ind w:left="23" w:right="66" w:firstLine="479"/>
      </w:pPr>
      <w:r>
        <w:rPr>
          <w:spacing w:val="-6"/>
        </w:rPr>
        <w:t>在</w:t>
      </w:r>
      <w:r>
        <w:rPr>
          <w:rFonts w:hint="eastAsia"/>
          <w:spacing w:val="-6"/>
          <w:lang w:val="en-US" w:eastAsia="zh-CN"/>
        </w:rPr>
        <w:t>毛坯制作完成</w:t>
      </w:r>
      <w:r>
        <w:rPr>
          <w:spacing w:val="-6"/>
        </w:rPr>
        <w:t>和</w:t>
      </w:r>
      <w:r>
        <w:rPr>
          <w:rFonts w:hint="eastAsia"/>
          <w:spacing w:val="-6"/>
          <w:lang w:val="en-US" w:eastAsia="zh-CN"/>
        </w:rPr>
        <w:t>精加工完成</w:t>
      </w:r>
      <w:r>
        <w:rPr>
          <w:spacing w:val="-6"/>
        </w:rPr>
        <w:t>前，</w:t>
      </w:r>
      <w:r>
        <w:rPr>
          <w:spacing w:val="-52"/>
        </w:rPr>
        <w:t xml:space="preserve"> </w:t>
      </w:r>
      <w:r>
        <w:rPr>
          <w:spacing w:val="-6"/>
        </w:rPr>
        <w:t>供方应提前</w:t>
      </w:r>
      <w:r>
        <w:rPr>
          <w:spacing w:val="-44"/>
        </w:rPr>
        <w:t xml:space="preserve"> </w:t>
      </w:r>
      <w:r>
        <w:rPr>
          <w:spacing w:val="-6"/>
        </w:rPr>
        <w:t>7</w:t>
      </w:r>
      <w:r>
        <w:rPr>
          <w:spacing w:val="-51"/>
        </w:rPr>
        <w:t xml:space="preserve"> </w:t>
      </w:r>
      <w:r>
        <w:rPr>
          <w:spacing w:val="-6"/>
        </w:rPr>
        <w:t>个工作日</w:t>
      </w:r>
      <w:r>
        <w:rPr>
          <w:spacing w:val="-2"/>
        </w:rPr>
        <w:t>内以书面形式通知需方到现场参加合同</w:t>
      </w:r>
      <w:r>
        <w:rPr>
          <w:rFonts w:hint="eastAsia"/>
          <w:spacing w:val="-2"/>
          <w:lang w:val="en-US" w:eastAsia="zh-CN"/>
        </w:rPr>
        <w:t>标的物</w:t>
      </w:r>
      <w:r>
        <w:rPr>
          <w:spacing w:val="-2"/>
        </w:rPr>
        <w:t>检验，</w:t>
      </w:r>
      <w:r>
        <w:rPr>
          <w:spacing w:val="-3"/>
        </w:rPr>
        <w:t>由供方组织，需方和供方按照《产品验收大纲》（产品</w:t>
      </w:r>
      <w:r>
        <w:rPr>
          <w:spacing w:val="-4"/>
        </w:rPr>
        <w:t>验收大纲由双方按照技术</w:t>
      </w:r>
      <w:r>
        <w:rPr>
          <w:spacing w:val="-1"/>
        </w:rPr>
        <w:t>协议编写）进行预验收，预验收合格后，需方代表应签署“同意发</w:t>
      </w:r>
      <w:r>
        <w:rPr>
          <w:spacing w:val="-2"/>
        </w:rPr>
        <w:t>货单”。</w:t>
      </w:r>
    </w:p>
    <w:p w14:paraId="72C5D6CD">
      <w:pPr>
        <w:pStyle w:val="2"/>
        <w:spacing w:before="34" w:line="220" w:lineRule="auto"/>
        <w:ind w:left="508"/>
      </w:pPr>
      <w:r>
        <w:rPr>
          <w:spacing w:val="-5"/>
        </w:rPr>
        <w:t>5.3</w:t>
      </w:r>
      <w:r>
        <w:rPr>
          <w:spacing w:val="-41"/>
        </w:rPr>
        <w:t xml:space="preserve"> </w:t>
      </w:r>
      <w:r>
        <w:rPr>
          <w:spacing w:val="-5"/>
        </w:rPr>
        <w:t>终验收</w:t>
      </w:r>
    </w:p>
    <w:p w14:paraId="3475C431">
      <w:pPr>
        <w:pStyle w:val="2"/>
        <w:spacing w:before="180" w:line="354" w:lineRule="auto"/>
        <w:ind w:left="21" w:firstLine="485"/>
      </w:pPr>
      <w:r>
        <w:rPr>
          <w:rFonts w:hint="eastAsia"/>
          <w:spacing w:val="-9"/>
          <w:lang w:val="en-US" w:eastAsia="zh-CN"/>
        </w:rPr>
        <w:t>精加工铸件在需方指定地点</w:t>
      </w:r>
      <w:r>
        <w:rPr>
          <w:spacing w:val="-9"/>
        </w:rPr>
        <w:t>安装调试完成</w:t>
      </w:r>
      <w:r>
        <w:rPr>
          <w:rFonts w:hint="eastAsia"/>
          <w:spacing w:val="-9"/>
          <w:lang w:val="en-US" w:eastAsia="zh-CN"/>
        </w:rPr>
        <w:t>正式</w:t>
      </w:r>
      <w:r>
        <w:rPr>
          <w:spacing w:val="-4"/>
        </w:rPr>
        <w:t>生产</w:t>
      </w:r>
      <w:r>
        <w:rPr>
          <w:rFonts w:hint="eastAsia"/>
          <w:spacing w:val="-4"/>
          <w:lang w:val="en-US" w:eastAsia="zh-CN"/>
        </w:rPr>
        <w:t>30天后</w:t>
      </w:r>
      <w:r>
        <w:rPr>
          <w:spacing w:val="-4"/>
        </w:rPr>
        <w:t>，双方根据《产品验收大纲》</w:t>
      </w:r>
      <w:r>
        <w:t xml:space="preserve"> 进行终验收并签署最终“验收合格证书/验收报告”并加盖公章，开始计算质量</w:t>
      </w:r>
      <w:r>
        <w:rPr>
          <w:spacing w:val="-8"/>
        </w:rPr>
        <w:t>保证期。</w:t>
      </w:r>
    </w:p>
    <w:p w14:paraId="1AEEDD9A">
      <w:pPr>
        <w:spacing w:line="466" w:lineRule="auto"/>
        <w:rPr>
          <w:rFonts w:ascii="Arial"/>
          <w:sz w:val="21"/>
        </w:rPr>
      </w:pPr>
    </w:p>
    <w:p w14:paraId="545FBAA7">
      <w:pPr>
        <w:pStyle w:val="2"/>
        <w:spacing w:before="92" w:line="220" w:lineRule="auto"/>
        <w:ind w:left="25"/>
        <w:outlineLvl w:val="1"/>
        <w:rPr>
          <w:sz w:val="28"/>
          <w:szCs w:val="28"/>
        </w:rPr>
      </w:pPr>
      <w:r>
        <w:rPr>
          <w:b/>
          <w:bCs/>
          <w:spacing w:val="-4"/>
          <w:sz w:val="28"/>
          <w:szCs w:val="28"/>
        </w:rPr>
        <w:t>六、</w:t>
      </w:r>
      <w:r>
        <w:rPr>
          <w:rFonts w:hint="eastAsia"/>
          <w:b/>
          <w:bCs/>
          <w:spacing w:val="-4"/>
          <w:sz w:val="28"/>
          <w:szCs w:val="28"/>
          <w:lang w:val="en-US" w:eastAsia="zh-CN"/>
        </w:rPr>
        <w:t>质量保证与</w:t>
      </w:r>
      <w:r>
        <w:rPr>
          <w:b/>
          <w:bCs/>
          <w:spacing w:val="-4"/>
          <w:sz w:val="28"/>
          <w:szCs w:val="28"/>
        </w:rPr>
        <w:t>售后服务</w:t>
      </w:r>
    </w:p>
    <w:p w14:paraId="37261E85">
      <w:pPr>
        <w:pStyle w:val="2"/>
        <w:spacing w:before="231" w:line="219" w:lineRule="auto"/>
        <w:ind w:left="505"/>
        <w:rPr>
          <w:rFonts w:hint="eastAsia" w:eastAsia="宋体"/>
          <w:lang w:eastAsia="zh-CN"/>
        </w:rPr>
      </w:pPr>
      <w:r>
        <w:rPr>
          <w:spacing w:val="-2"/>
        </w:rPr>
        <w:t>6.1</w:t>
      </w:r>
      <w:r>
        <w:rPr>
          <w:spacing w:val="-43"/>
        </w:rPr>
        <w:t xml:space="preserve"> </w:t>
      </w:r>
      <w:r>
        <w:rPr>
          <w:rFonts w:hint="eastAsia"/>
          <w:spacing w:val="-43"/>
          <w:lang w:val="en-US" w:eastAsia="zh-CN"/>
        </w:rPr>
        <w:t>铸件（含加工）</w:t>
      </w:r>
      <w:r>
        <w:rPr>
          <w:spacing w:val="-2"/>
        </w:rPr>
        <w:t>质保期</w:t>
      </w:r>
      <w:r>
        <w:rPr>
          <w:rFonts w:hint="eastAsia"/>
          <w:spacing w:val="-2"/>
          <w:lang w:val="en-US" w:eastAsia="zh-CN"/>
        </w:rPr>
        <w:t>≥36</w:t>
      </w:r>
      <w:r>
        <w:rPr>
          <w:spacing w:val="-2"/>
        </w:rPr>
        <w:t>个月，质保时间从终验收合格之日起计算</w:t>
      </w:r>
      <w:r>
        <w:rPr>
          <w:rFonts w:hint="eastAsia"/>
          <w:spacing w:val="-2"/>
          <w:lang w:eastAsia="zh-CN"/>
        </w:rPr>
        <w:t>。</w:t>
      </w:r>
    </w:p>
    <w:p w14:paraId="742CA988">
      <w:pPr>
        <w:pStyle w:val="2"/>
        <w:spacing w:before="184" w:line="332" w:lineRule="auto"/>
        <w:ind w:left="24" w:right="108" w:firstLine="480"/>
      </w:pPr>
      <w:r>
        <w:rPr>
          <w:spacing w:val="-2"/>
        </w:rPr>
        <w:t>6.2</w:t>
      </w:r>
      <w:r>
        <w:rPr>
          <w:spacing w:val="-38"/>
        </w:rPr>
        <w:t xml:space="preserve"> </w:t>
      </w:r>
      <w:r>
        <w:rPr>
          <w:spacing w:val="-2"/>
        </w:rPr>
        <w:t>在质量保证期内，因供方</w:t>
      </w:r>
      <w:r>
        <w:rPr>
          <w:rFonts w:hint="eastAsia"/>
          <w:spacing w:val="-2"/>
          <w:lang w:val="en-US" w:eastAsia="zh-CN"/>
        </w:rPr>
        <w:t>质量</w:t>
      </w:r>
      <w:r>
        <w:rPr>
          <w:spacing w:val="-2"/>
        </w:rPr>
        <w:t>原因造成设备</w:t>
      </w:r>
      <w:r>
        <w:rPr>
          <w:rFonts w:hint="eastAsia"/>
          <w:spacing w:val="-2"/>
          <w:lang w:val="en-US" w:eastAsia="zh-CN"/>
        </w:rPr>
        <w:t>在使用过程中出现重大质量问题（如：所供零部件出现断裂、破损等）</w:t>
      </w:r>
      <w:r>
        <w:rPr>
          <w:spacing w:val="-6"/>
        </w:rPr>
        <w:t>，则供方</w:t>
      </w:r>
      <w:r>
        <w:rPr>
          <w:rFonts w:hint="eastAsia"/>
          <w:spacing w:val="-6"/>
          <w:lang w:val="en-US" w:eastAsia="zh-CN"/>
        </w:rPr>
        <w:t>负责</w:t>
      </w:r>
      <w:r>
        <w:rPr>
          <w:spacing w:val="-6"/>
        </w:rPr>
        <w:t>免费</w:t>
      </w:r>
      <w:r>
        <w:rPr>
          <w:rFonts w:hint="eastAsia"/>
          <w:spacing w:val="-6"/>
          <w:lang w:val="en-US" w:eastAsia="zh-CN"/>
        </w:rPr>
        <w:t>更换</w:t>
      </w:r>
      <w:r>
        <w:rPr>
          <w:rFonts w:hint="eastAsia"/>
          <w:spacing w:val="-10"/>
          <w:lang w:val="en-US" w:eastAsia="zh-CN"/>
        </w:rPr>
        <w:t>并承担由此产生的任何费用及使用方提出的损失，</w:t>
      </w:r>
      <w:r>
        <w:rPr>
          <w:spacing w:val="-6"/>
        </w:rPr>
        <w:t>保证设备的正</w:t>
      </w:r>
      <w:r>
        <w:rPr>
          <w:spacing w:val="-7"/>
        </w:rPr>
        <w:t>常运行</w:t>
      </w:r>
      <w:r>
        <w:rPr>
          <w:spacing w:val="-9"/>
        </w:rPr>
        <w:t>。若因</w:t>
      </w:r>
      <w:r>
        <w:rPr>
          <w:rFonts w:hint="eastAsia"/>
          <w:spacing w:val="-9"/>
          <w:lang w:val="en-US" w:eastAsia="zh-CN"/>
        </w:rPr>
        <w:t>使用</w:t>
      </w:r>
      <w:r>
        <w:rPr>
          <w:spacing w:val="-9"/>
        </w:rPr>
        <w:t>方原因造成的设备损坏， 供方</w:t>
      </w:r>
      <w:r>
        <w:rPr>
          <w:rFonts w:hint="eastAsia"/>
          <w:spacing w:val="-9"/>
          <w:lang w:val="en-US" w:eastAsia="zh-CN"/>
        </w:rPr>
        <w:t>应积极协助需方</w:t>
      </w:r>
      <w:r>
        <w:rPr>
          <w:spacing w:val="-9"/>
        </w:rPr>
        <w:t>修复</w:t>
      </w:r>
      <w:r>
        <w:rPr>
          <w:spacing w:val="-10"/>
        </w:rPr>
        <w:t>、更换， 但费用由需方承</w:t>
      </w:r>
      <w:r>
        <w:rPr>
          <w:spacing w:val="-6"/>
        </w:rPr>
        <w:t>担。在质量保证期后，如果设备出现问题，供方有义务协助</w:t>
      </w:r>
      <w:r>
        <w:rPr>
          <w:spacing w:val="-7"/>
        </w:rPr>
        <w:t>处理以保证设备的正</w:t>
      </w:r>
      <w:r>
        <w:rPr>
          <w:spacing w:val="-9"/>
        </w:rPr>
        <w:t>常运行。</w:t>
      </w:r>
    </w:p>
    <w:p w14:paraId="13700152">
      <w:pPr>
        <w:pStyle w:val="2"/>
        <w:spacing w:before="181" w:line="220" w:lineRule="auto"/>
        <w:ind w:left="505"/>
        <w:rPr>
          <w:rFonts w:hint="eastAsia" w:eastAsia="宋体"/>
          <w:lang w:eastAsia="zh-CN"/>
        </w:rPr>
      </w:pPr>
      <w:r>
        <w:rPr>
          <w:spacing w:val="-1"/>
        </w:rPr>
        <w:t>6.3</w:t>
      </w:r>
      <w:r>
        <w:rPr>
          <w:spacing w:val="-51"/>
        </w:rPr>
        <w:t xml:space="preserve"> </w:t>
      </w:r>
      <w:r>
        <w:rPr>
          <w:spacing w:val="-1"/>
        </w:rPr>
        <w:t>质保期内响应时间：维修响应时间为</w:t>
      </w:r>
      <w:r>
        <w:rPr>
          <w:rFonts w:hint="eastAsia"/>
          <w:spacing w:val="-1"/>
          <w:lang w:val="en-US" w:eastAsia="zh-CN"/>
        </w:rPr>
        <w:t xml:space="preserve"> </w:t>
      </w:r>
      <w:r>
        <w:rPr>
          <w:spacing w:val="-1"/>
        </w:rPr>
        <w:t>4</w:t>
      </w:r>
      <w:r>
        <w:rPr>
          <w:spacing w:val="-43"/>
        </w:rPr>
        <w:t xml:space="preserve"> </w:t>
      </w:r>
      <w:r>
        <w:rPr>
          <w:spacing w:val="-1"/>
        </w:rPr>
        <w:t>小时，24</w:t>
      </w:r>
      <w:r>
        <w:rPr>
          <w:spacing w:val="-44"/>
        </w:rPr>
        <w:t xml:space="preserve"> </w:t>
      </w:r>
      <w:r>
        <w:rPr>
          <w:spacing w:val="-1"/>
        </w:rPr>
        <w:t>小时内赶到</w:t>
      </w:r>
      <w:r>
        <w:rPr>
          <w:rFonts w:hint="eastAsia"/>
          <w:spacing w:val="-1"/>
          <w:lang w:val="en-US" w:eastAsia="zh-CN"/>
        </w:rPr>
        <w:t>使用</w:t>
      </w:r>
      <w:r>
        <w:rPr>
          <w:spacing w:val="-2"/>
        </w:rPr>
        <w:t>方现场</w:t>
      </w:r>
      <w:r>
        <w:rPr>
          <w:rFonts w:hint="eastAsia"/>
          <w:spacing w:val="-2"/>
          <w:lang w:eastAsia="zh-CN"/>
        </w:rPr>
        <w:t>，</w:t>
      </w:r>
    </w:p>
    <w:p w14:paraId="127524C7">
      <w:pPr>
        <w:pStyle w:val="2"/>
        <w:spacing w:before="182" w:line="220" w:lineRule="auto"/>
        <w:ind w:left="28"/>
        <w:rPr>
          <w:rFonts w:hint="default" w:eastAsia="宋体"/>
          <w:lang w:val="en-US" w:eastAsia="zh-CN"/>
        </w:rPr>
      </w:pPr>
      <w:r>
        <w:rPr>
          <w:rFonts w:hint="eastAsia"/>
          <w:spacing w:val="-7"/>
          <w:lang w:val="en-US" w:eastAsia="zh-CN"/>
        </w:rPr>
        <w:t xml:space="preserve">小问题 </w:t>
      </w:r>
      <w:r>
        <w:rPr>
          <w:spacing w:val="-7"/>
        </w:rPr>
        <w:t>3</w:t>
      </w:r>
      <w:r>
        <w:rPr>
          <w:spacing w:val="-47"/>
        </w:rPr>
        <w:t xml:space="preserve"> </w:t>
      </w:r>
      <w:r>
        <w:rPr>
          <w:spacing w:val="-7"/>
        </w:rPr>
        <w:t>天内排除</w:t>
      </w:r>
      <w:r>
        <w:rPr>
          <w:rFonts w:hint="eastAsia"/>
          <w:spacing w:val="-7"/>
          <w:lang w:eastAsia="zh-CN"/>
        </w:rPr>
        <w:t>，</w:t>
      </w:r>
      <w:r>
        <w:rPr>
          <w:rFonts w:hint="eastAsia"/>
          <w:spacing w:val="-7"/>
          <w:lang w:val="en-US" w:eastAsia="zh-CN"/>
        </w:rPr>
        <w:t>重大问题 3 个月内解决。</w:t>
      </w:r>
    </w:p>
    <w:p w14:paraId="3D73A08C">
      <w:pPr>
        <w:pStyle w:val="2"/>
        <w:spacing w:before="183" w:line="325" w:lineRule="auto"/>
        <w:ind w:left="23" w:right="109" w:firstLine="481"/>
      </w:pPr>
      <w:r>
        <w:rPr>
          <w:spacing w:val="-1"/>
        </w:rPr>
        <w:t>6.4</w:t>
      </w:r>
      <w:r>
        <w:rPr>
          <w:spacing w:val="-35"/>
        </w:rPr>
        <w:t xml:space="preserve"> </w:t>
      </w:r>
      <w:r>
        <w:rPr>
          <w:spacing w:val="-1"/>
        </w:rPr>
        <w:t>质保期外，</w:t>
      </w:r>
      <w:r>
        <w:rPr>
          <w:rFonts w:hint="eastAsia"/>
          <w:spacing w:val="-1"/>
          <w:lang w:val="en-US" w:eastAsia="zh-CN"/>
        </w:rPr>
        <w:t>供方应为所供零部件</w:t>
      </w:r>
      <w:r>
        <w:rPr>
          <w:spacing w:val="-1"/>
        </w:rPr>
        <w:t>提供永久技术支持及有偿维修服务；维修响应时间为</w:t>
      </w:r>
      <w:r>
        <w:rPr>
          <w:spacing w:val="-38"/>
        </w:rPr>
        <w:t xml:space="preserve"> </w:t>
      </w:r>
      <w:r>
        <w:rPr>
          <w:spacing w:val="-1"/>
        </w:rPr>
        <w:t>4</w:t>
      </w:r>
      <w:r>
        <w:t xml:space="preserve"> </w:t>
      </w:r>
      <w:r>
        <w:rPr>
          <w:spacing w:val="-7"/>
        </w:rPr>
        <w:t>小时，24</w:t>
      </w:r>
      <w:r>
        <w:rPr>
          <w:spacing w:val="-37"/>
        </w:rPr>
        <w:t xml:space="preserve"> </w:t>
      </w:r>
      <w:r>
        <w:rPr>
          <w:spacing w:val="-7"/>
        </w:rPr>
        <w:t>小时内赶到现场给予解决方案，3</w:t>
      </w:r>
      <w:r>
        <w:rPr>
          <w:spacing w:val="-50"/>
        </w:rPr>
        <w:t xml:space="preserve"> </w:t>
      </w:r>
      <w:r>
        <w:rPr>
          <w:spacing w:val="-7"/>
        </w:rPr>
        <w:t>天内排除故障。为不影响生产， 设</w:t>
      </w:r>
      <w:r>
        <w:rPr>
          <w:rFonts w:hint="eastAsia"/>
          <w:spacing w:val="-7"/>
          <w:lang w:val="en-US" w:eastAsia="zh-CN"/>
        </w:rPr>
        <w:t>备</w:t>
      </w:r>
      <w:r>
        <w:rPr>
          <w:spacing w:val="-3"/>
        </w:rPr>
        <w:t>制造厂家需先行维修，</w:t>
      </w:r>
      <w:r>
        <w:rPr>
          <w:rFonts w:hint="eastAsia"/>
          <w:spacing w:val="-3"/>
          <w:lang w:val="en-US" w:eastAsia="zh-CN"/>
        </w:rPr>
        <w:t>供方要</w:t>
      </w:r>
      <w:r>
        <w:rPr>
          <w:spacing w:val="-3"/>
        </w:rPr>
        <w:t>提供技术支持和优惠的备件供应，用户随后按实际</w:t>
      </w:r>
      <w:r>
        <w:rPr>
          <w:spacing w:val="-4"/>
        </w:rPr>
        <w:t>发生</w:t>
      </w:r>
      <w:r>
        <w:rPr>
          <w:spacing w:val="-6"/>
        </w:rPr>
        <w:t>的费用结算。</w:t>
      </w:r>
    </w:p>
    <w:p w14:paraId="7821CA91">
      <w:pPr>
        <w:pStyle w:val="2"/>
        <w:spacing w:before="182" w:line="219" w:lineRule="auto"/>
        <w:ind w:left="505"/>
      </w:pPr>
      <w:r>
        <w:rPr>
          <w:spacing w:val="-3"/>
        </w:rPr>
        <w:t>6.5</w:t>
      </w:r>
      <w:r>
        <w:rPr>
          <w:spacing w:val="-32"/>
        </w:rPr>
        <w:t xml:space="preserve"> </w:t>
      </w:r>
      <w:r>
        <w:rPr>
          <w:rFonts w:hint="eastAsia"/>
          <w:spacing w:val="-32"/>
          <w:lang w:val="en-US" w:eastAsia="zh-CN"/>
        </w:rPr>
        <w:t>供方应为需方</w:t>
      </w:r>
      <w:r>
        <w:rPr>
          <w:spacing w:val="-3"/>
        </w:rPr>
        <w:t>提供</w:t>
      </w:r>
      <w:r>
        <w:rPr>
          <w:rFonts w:hint="eastAsia"/>
          <w:spacing w:val="-3"/>
          <w:lang w:val="en-US" w:eastAsia="zh-CN"/>
        </w:rPr>
        <w:t>所供零部件</w:t>
      </w:r>
      <w:r>
        <w:rPr>
          <w:spacing w:val="-3"/>
        </w:rPr>
        <w:t>终身</w:t>
      </w:r>
      <w:r>
        <w:rPr>
          <w:rFonts w:hint="eastAsia"/>
          <w:spacing w:val="-3"/>
          <w:lang w:eastAsia="zh-CN"/>
        </w:rPr>
        <w:t>的</w:t>
      </w:r>
      <w:r>
        <w:rPr>
          <w:rFonts w:hint="eastAsia"/>
          <w:spacing w:val="-3"/>
          <w:lang w:val="en-US" w:eastAsia="zh-CN"/>
        </w:rPr>
        <w:t>技术咨询服务和有偿</w:t>
      </w:r>
      <w:r>
        <w:rPr>
          <w:spacing w:val="-3"/>
        </w:rPr>
        <w:t>维护服务。</w:t>
      </w:r>
    </w:p>
    <w:p w14:paraId="22C5487D">
      <w:pPr>
        <w:pStyle w:val="2"/>
        <w:spacing w:before="180" w:line="221" w:lineRule="auto"/>
        <w:outlineLvl w:val="1"/>
        <w:rPr>
          <w:highlight w:val="yellow"/>
        </w:rPr>
      </w:pPr>
    </w:p>
    <w:p w14:paraId="4D1D3C2A">
      <w:pPr>
        <w:spacing w:line="312" w:lineRule="auto"/>
        <w:rPr>
          <w:rFonts w:ascii="Arial"/>
          <w:sz w:val="21"/>
        </w:rPr>
      </w:pPr>
    </w:p>
    <w:p w14:paraId="552A30A2">
      <w:pPr>
        <w:pStyle w:val="2"/>
        <w:spacing w:before="92" w:line="220" w:lineRule="auto"/>
        <w:ind w:left="26"/>
        <w:outlineLvl w:val="1"/>
        <w:rPr>
          <w:sz w:val="28"/>
          <w:szCs w:val="28"/>
        </w:rPr>
      </w:pPr>
      <w:r>
        <w:rPr>
          <w:rFonts w:hint="eastAsia"/>
          <w:b/>
          <w:bCs/>
          <w:spacing w:val="-6"/>
          <w:sz w:val="28"/>
          <w:szCs w:val="28"/>
          <w:lang w:val="en-US" w:eastAsia="zh-CN"/>
        </w:rPr>
        <w:t>七</w:t>
      </w:r>
      <w:r>
        <w:rPr>
          <w:b/>
          <w:bCs/>
          <w:spacing w:val="-6"/>
          <w:sz w:val="28"/>
          <w:szCs w:val="28"/>
        </w:rPr>
        <w:t>、付款方式</w:t>
      </w:r>
    </w:p>
    <w:p w14:paraId="7B5550F0">
      <w:pPr>
        <w:pStyle w:val="2"/>
        <w:spacing w:before="232" w:line="351" w:lineRule="auto"/>
        <w:ind w:left="24" w:right="18" w:firstLine="479"/>
        <w:jc w:val="both"/>
        <w:rPr>
          <w:highlight w:val="none"/>
        </w:rPr>
      </w:pPr>
      <w:r>
        <w:rPr>
          <w:spacing w:val="-2"/>
          <w:highlight w:val="none"/>
        </w:rPr>
        <w:t>合同签订后预付合同总价款的</w:t>
      </w:r>
      <w:r>
        <w:rPr>
          <w:rFonts w:hint="eastAsia"/>
          <w:spacing w:val="-34"/>
          <w:highlight w:val="none"/>
          <w:lang w:val="en-US" w:eastAsia="zh-CN"/>
        </w:rPr>
        <w:t xml:space="preserve">10 </w:t>
      </w:r>
      <w:r>
        <w:rPr>
          <w:spacing w:val="-2"/>
          <w:highlight w:val="none"/>
        </w:rPr>
        <w:t>%，</w:t>
      </w:r>
      <w:r>
        <w:rPr>
          <w:rFonts w:hint="eastAsia"/>
          <w:spacing w:val="-2"/>
          <w:highlight w:val="none"/>
          <w:lang w:val="en-US" w:eastAsia="zh-CN"/>
        </w:rPr>
        <w:t>木模制作完成验收合格后支付合同总价款的20%，预验收完成发货前支付合同总价款的30%，终验收完成后</w:t>
      </w:r>
      <w:r>
        <w:rPr>
          <w:spacing w:val="-2"/>
          <w:highlight w:val="none"/>
        </w:rPr>
        <w:t>支付合同总</w:t>
      </w:r>
      <w:r>
        <w:rPr>
          <w:spacing w:val="-3"/>
          <w:highlight w:val="none"/>
        </w:rPr>
        <w:t>价款的</w:t>
      </w:r>
      <w:r>
        <w:rPr>
          <w:rFonts w:hint="eastAsia"/>
          <w:spacing w:val="-3"/>
          <w:highlight w:val="none"/>
          <w:lang w:val="en-US" w:eastAsia="zh-CN"/>
        </w:rPr>
        <w:t>30</w:t>
      </w:r>
      <w:r>
        <w:rPr>
          <w:spacing w:val="-3"/>
          <w:highlight w:val="none"/>
        </w:rPr>
        <w:t>%，</w:t>
      </w:r>
      <w:r>
        <w:rPr>
          <w:spacing w:val="-5"/>
          <w:highlight w:val="none"/>
        </w:rPr>
        <w:t>剩余合同总价款的</w:t>
      </w:r>
      <w:r>
        <w:rPr>
          <w:spacing w:val="-32"/>
          <w:highlight w:val="none"/>
        </w:rPr>
        <w:t xml:space="preserve"> </w:t>
      </w:r>
      <w:r>
        <w:rPr>
          <w:spacing w:val="-5"/>
          <w:highlight w:val="none"/>
        </w:rPr>
        <w:t>10%作</w:t>
      </w:r>
      <w:r>
        <w:rPr>
          <w:spacing w:val="-6"/>
          <w:highlight w:val="none"/>
        </w:rPr>
        <w:t>为质保金</w:t>
      </w:r>
      <w:r>
        <w:rPr>
          <w:strike w:val="0"/>
          <w:dstrike w:val="0"/>
          <w:spacing w:val="-6"/>
          <w:highlight w:val="none"/>
        </w:rPr>
        <w:t>（质保期贰年，</w:t>
      </w:r>
      <w:r>
        <w:rPr>
          <w:strike w:val="0"/>
          <w:dstrike w:val="0"/>
          <w:highlight w:val="none"/>
        </w:rPr>
        <w:t xml:space="preserve"> </w:t>
      </w:r>
      <w:r>
        <w:rPr>
          <w:strike w:val="0"/>
          <w:dstrike w:val="0"/>
          <w:spacing w:val="-2"/>
          <w:highlight w:val="none"/>
        </w:rPr>
        <w:t>自终验收合格之日起计）</w:t>
      </w:r>
      <w:r>
        <w:rPr>
          <w:spacing w:val="-2"/>
          <w:highlight w:val="none"/>
        </w:rPr>
        <w:t>质保期满无质量问题后</w:t>
      </w:r>
      <w:r>
        <w:rPr>
          <w:rFonts w:hint="eastAsia"/>
          <w:spacing w:val="-2"/>
          <w:highlight w:val="none"/>
          <w:lang w:val="en-US" w:eastAsia="zh-CN"/>
        </w:rPr>
        <w:t>7个工作日内</w:t>
      </w:r>
      <w:r>
        <w:rPr>
          <w:spacing w:val="-2"/>
          <w:highlight w:val="none"/>
        </w:rPr>
        <w:t>付</w:t>
      </w:r>
      <w:r>
        <w:rPr>
          <w:rFonts w:hint="eastAsia"/>
          <w:spacing w:val="-2"/>
          <w:highlight w:val="none"/>
          <w:lang w:val="en-US" w:eastAsia="zh-CN"/>
        </w:rPr>
        <w:t>清</w:t>
      </w:r>
      <w:r>
        <w:rPr>
          <w:spacing w:val="-2"/>
          <w:highlight w:val="none"/>
        </w:rPr>
        <w:t>。</w:t>
      </w:r>
    </w:p>
    <w:p w14:paraId="5743F92A">
      <w:pPr>
        <w:pStyle w:val="2"/>
        <w:spacing w:before="34" w:line="347" w:lineRule="auto"/>
        <w:ind w:left="30" w:right="94" w:firstLine="473"/>
        <w:rPr>
          <w:highlight w:val="none"/>
        </w:rPr>
      </w:pPr>
      <w:r>
        <w:rPr>
          <w:spacing w:val="-3"/>
          <w:highlight w:val="none"/>
        </w:rPr>
        <w:t>每笔款项支付前供方需开具等额的增值税（税率</w:t>
      </w:r>
      <w:r>
        <w:rPr>
          <w:spacing w:val="-12"/>
          <w:highlight w:val="none"/>
        </w:rPr>
        <w:t xml:space="preserve"> </w:t>
      </w:r>
      <w:r>
        <w:rPr>
          <w:spacing w:val="-3"/>
          <w:highlight w:val="none"/>
        </w:rPr>
        <w:t>13%）专用发票，需方在收</w:t>
      </w:r>
      <w:r>
        <w:rPr>
          <w:highlight w:val="none"/>
        </w:rPr>
        <w:t xml:space="preserve"> </w:t>
      </w:r>
      <w:r>
        <w:rPr>
          <w:spacing w:val="-6"/>
          <w:highlight w:val="none"/>
        </w:rPr>
        <w:t>到发票后</w:t>
      </w:r>
      <w:r>
        <w:rPr>
          <w:spacing w:val="-37"/>
          <w:highlight w:val="none"/>
        </w:rPr>
        <w:t xml:space="preserve"> </w:t>
      </w:r>
      <w:r>
        <w:rPr>
          <w:rFonts w:hint="eastAsia"/>
          <w:spacing w:val="-6"/>
          <w:highlight w:val="none"/>
          <w:lang w:val="en-US" w:eastAsia="zh-CN"/>
        </w:rPr>
        <w:t>7</w:t>
      </w:r>
      <w:r>
        <w:rPr>
          <w:spacing w:val="-51"/>
          <w:highlight w:val="none"/>
        </w:rPr>
        <w:t xml:space="preserve"> </w:t>
      </w:r>
      <w:r>
        <w:rPr>
          <w:spacing w:val="-6"/>
          <w:highlight w:val="none"/>
        </w:rPr>
        <w:t>个工作日内支付。</w:t>
      </w:r>
    </w:p>
    <w:p w14:paraId="3E37BDB3">
      <w:pPr>
        <w:spacing w:line="432" w:lineRule="auto"/>
        <w:rPr>
          <w:rFonts w:ascii="Arial"/>
          <w:sz w:val="21"/>
        </w:rPr>
      </w:pPr>
    </w:p>
    <w:p w14:paraId="40975688">
      <w:pPr>
        <w:pStyle w:val="2"/>
        <w:spacing w:before="91" w:line="219" w:lineRule="auto"/>
        <w:ind w:left="26"/>
        <w:outlineLvl w:val="1"/>
        <w:rPr>
          <w:sz w:val="28"/>
          <w:szCs w:val="28"/>
        </w:rPr>
      </w:pPr>
      <w:r>
        <w:rPr>
          <w:rFonts w:hint="eastAsia"/>
          <w:b/>
          <w:bCs/>
          <w:spacing w:val="-7"/>
          <w:sz w:val="28"/>
          <w:szCs w:val="28"/>
          <w:lang w:val="en-US" w:eastAsia="zh-CN"/>
        </w:rPr>
        <w:t>八</w:t>
      </w:r>
      <w:r>
        <w:rPr>
          <w:b/>
          <w:bCs/>
          <w:spacing w:val="-7"/>
          <w:sz w:val="28"/>
          <w:szCs w:val="28"/>
        </w:rPr>
        <w:t>、交货周期</w:t>
      </w:r>
    </w:p>
    <w:p w14:paraId="1C00D123">
      <w:pPr>
        <w:pStyle w:val="2"/>
        <w:spacing w:before="233" w:line="240" w:lineRule="auto"/>
        <w:ind w:left="521"/>
        <w:rPr>
          <w:b/>
          <w:bCs/>
        </w:rPr>
      </w:pPr>
      <w:r>
        <w:rPr>
          <w:b/>
          <w:bCs/>
          <w:spacing w:val="-3"/>
        </w:rPr>
        <w:t>11.1</w:t>
      </w:r>
      <w:r>
        <w:rPr>
          <w:b/>
          <w:bCs/>
          <w:spacing w:val="-43"/>
        </w:rPr>
        <w:t xml:space="preserve"> </w:t>
      </w:r>
      <w:r>
        <w:rPr>
          <w:b/>
          <w:bCs/>
          <w:spacing w:val="-3"/>
        </w:rPr>
        <w:t>交付时间：合同生效后</w:t>
      </w:r>
      <w:r>
        <w:rPr>
          <w:rFonts w:hint="eastAsia"/>
          <w:b/>
          <w:bCs/>
          <w:spacing w:val="-3"/>
          <w:lang w:val="en-US" w:eastAsia="zh-CN"/>
        </w:rPr>
        <w:t>270天</w:t>
      </w:r>
      <w:r>
        <w:rPr>
          <w:b/>
          <w:bCs/>
          <w:spacing w:val="-3"/>
        </w:rPr>
        <w:t>内交付</w:t>
      </w:r>
      <w:r>
        <w:rPr>
          <w:rFonts w:hint="eastAsia"/>
          <w:b/>
          <w:bCs/>
          <w:spacing w:val="-3"/>
          <w:lang w:eastAsia="zh-CN"/>
        </w:rPr>
        <w:t>，</w:t>
      </w:r>
      <w:r>
        <w:rPr>
          <w:rFonts w:hint="eastAsia"/>
          <w:b/>
          <w:bCs/>
          <w:spacing w:val="-3"/>
          <w:lang w:val="en-US" w:eastAsia="zh-CN"/>
        </w:rPr>
        <w:t>每延期一天罚款合同总额千分之三</w:t>
      </w:r>
      <w:r>
        <w:rPr>
          <w:b/>
          <w:bCs/>
          <w:spacing w:val="-3"/>
        </w:rPr>
        <w:t>。</w:t>
      </w:r>
    </w:p>
    <w:p w14:paraId="44469689">
      <w:pPr>
        <w:pStyle w:val="2"/>
        <w:spacing w:before="182" w:line="240" w:lineRule="auto"/>
        <w:ind w:left="521"/>
        <w:rPr>
          <w:b/>
          <w:bCs/>
          <w:spacing w:val="-4"/>
        </w:rPr>
      </w:pPr>
      <w:r>
        <w:rPr>
          <w:b/>
          <w:bCs/>
          <w:spacing w:val="-4"/>
        </w:rPr>
        <w:t>11.2</w:t>
      </w:r>
      <w:r>
        <w:rPr>
          <w:b/>
          <w:bCs/>
          <w:spacing w:val="-32"/>
        </w:rPr>
        <w:t xml:space="preserve"> </w:t>
      </w:r>
      <w:r>
        <w:rPr>
          <w:b/>
          <w:bCs/>
          <w:spacing w:val="-4"/>
        </w:rPr>
        <w:t>交货地点：</w:t>
      </w:r>
      <w:r>
        <w:rPr>
          <w:rFonts w:hint="eastAsia"/>
          <w:b/>
          <w:bCs/>
          <w:spacing w:val="-4"/>
          <w:lang w:val="en-US" w:eastAsia="zh-CN"/>
        </w:rPr>
        <w:t>武汉新威奇机械</w:t>
      </w:r>
      <w:r>
        <w:rPr>
          <w:b/>
          <w:bCs/>
          <w:spacing w:val="-4"/>
        </w:rPr>
        <w:t>有限公司</w:t>
      </w:r>
      <w:r>
        <w:rPr>
          <w:rFonts w:hint="eastAsia"/>
          <w:b/>
          <w:bCs/>
          <w:spacing w:val="-4"/>
          <w:lang w:val="en-US" w:eastAsia="zh-CN"/>
        </w:rPr>
        <w:t>指定地址</w:t>
      </w:r>
      <w:r>
        <w:rPr>
          <w:b/>
          <w:bCs/>
          <w:spacing w:val="-4"/>
        </w:rPr>
        <w:t>。</w:t>
      </w:r>
    </w:p>
    <w:p w14:paraId="1FEB9E97">
      <w:pPr>
        <w:pStyle w:val="2"/>
        <w:spacing w:before="182" w:line="240" w:lineRule="auto"/>
        <w:ind w:left="521"/>
        <w:rPr>
          <w:spacing w:val="-4"/>
        </w:rPr>
      </w:pPr>
    </w:p>
    <w:p w14:paraId="76F293FF">
      <w:pPr>
        <w:pStyle w:val="2"/>
        <w:numPr>
          <w:ilvl w:val="0"/>
          <w:numId w:val="0"/>
        </w:numPr>
        <w:spacing w:before="91" w:line="219" w:lineRule="auto"/>
        <w:outlineLvl w:val="1"/>
        <w:rPr>
          <w:rFonts w:hint="eastAsia"/>
          <w:b/>
          <w:bCs/>
          <w:spacing w:val="-7"/>
          <w:sz w:val="28"/>
          <w:szCs w:val="28"/>
          <w:lang w:val="en-US" w:eastAsia="zh-CN"/>
        </w:rPr>
      </w:pPr>
      <w:r>
        <w:rPr>
          <w:rFonts w:hint="eastAsia"/>
          <w:b/>
          <w:bCs/>
          <w:spacing w:val="-7"/>
          <w:sz w:val="28"/>
          <w:szCs w:val="28"/>
          <w:lang w:val="en-US" w:eastAsia="zh-CN"/>
        </w:rPr>
        <w:t>九、投标保证金</w:t>
      </w:r>
    </w:p>
    <w:p w14:paraId="4BFF812E">
      <w:pPr>
        <w:pStyle w:val="2"/>
        <w:numPr>
          <w:ilvl w:val="0"/>
          <w:numId w:val="5"/>
        </w:numPr>
        <w:spacing w:before="91" w:line="240" w:lineRule="auto"/>
        <w:ind w:firstLine="681" w:firstLineChars="300"/>
        <w:outlineLvl w:val="1"/>
        <w:rPr>
          <w:rFonts w:hint="eastAsia"/>
          <w:b/>
          <w:bCs/>
          <w:spacing w:val="-7"/>
          <w:sz w:val="24"/>
          <w:szCs w:val="24"/>
          <w:lang w:val="en-US" w:eastAsia="zh-CN"/>
        </w:rPr>
      </w:pPr>
      <w:r>
        <w:rPr>
          <w:rFonts w:hint="eastAsia"/>
          <w:b/>
          <w:bCs/>
          <w:spacing w:val="-7"/>
          <w:sz w:val="24"/>
          <w:szCs w:val="24"/>
          <w:lang w:val="en-US" w:eastAsia="zh-CN"/>
        </w:rPr>
        <w:t>每个标段投标保证金金额 5 万元，确定中标单位签订合同后，未中标单位的投标保证金在7个工作日内一次性无息退回。中标单位的投标保证金转履约保证金，终验收完成后7个工作日内一次性无息退回。</w:t>
      </w:r>
    </w:p>
    <w:p w14:paraId="6013A7FE">
      <w:pPr>
        <w:pStyle w:val="2"/>
        <w:numPr>
          <w:ilvl w:val="0"/>
          <w:numId w:val="5"/>
        </w:numPr>
        <w:spacing w:before="91" w:line="219" w:lineRule="auto"/>
        <w:ind w:firstLine="681" w:firstLineChars="300"/>
        <w:outlineLvl w:val="1"/>
        <w:rPr>
          <w:rFonts w:hint="default"/>
          <w:b/>
          <w:bCs/>
          <w:spacing w:val="-7"/>
          <w:sz w:val="24"/>
          <w:szCs w:val="24"/>
          <w:highlight w:val="none"/>
          <w:lang w:val="en-US" w:eastAsia="zh-CN"/>
        </w:rPr>
      </w:pPr>
      <w:r>
        <w:rPr>
          <w:rFonts w:hint="eastAsia"/>
          <w:b/>
          <w:bCs/>
          <w:spacing w:val="-7"/>
          <w:sz w:val="24"/>
          <w:szCs w:val="24"/>
          <w:highlight w:val="none"/>
          <w:lang w:val="en-US" w:eastAsia="zh-CN"/>
        </w:rPr>
        <w:t>收款单位：武汉新威奇机械有限公司</w:t>
      </w:r>
    </w:p>
    <w:p w14:paraId="670DBD9B">
      <w:pPr>
        <w:pStyle w:val="2"/>
        <w:numPr>
          <w:ilvl w:val="0"/>
          <w:numId w:val="0"/>
        </w:numPr>
        <w:spacing w:before="91" w:line="219" w:lineRule="auto"/>
        <w:outlineLvl w:val="1"/>
        <w:rPr>
          <w:rFonts w:hint="eastAsia"/>
          <w:b/>
          <w:bCs/>
          <w:spacing w:val="-7"/>
          <w:sz w:val="24"/>
          <w:szCs w:val="24"/>
          <w:highlight w:val="none"/>
          <w:lang w:val="en-US" w:eastAsia="zh-CN"/>
        </w:rPr>
      </w:pPr>
      <w:r>
        <w:rPr>
          <w:rFonts w:hint="eastAsia"/>
          <w:b/>
          <w:bCs/>
          <w:spacing w:val="-7"/>
          <w:sz w:val="24"/>
          <w:szCs w:val="24"/>
          <w:highlight w:val="none"/>
          <w:lang w:val="en-US" w:eastAsia="zh-CN"/>
        </w:rPr>
        <w:t xml:space="preserve">         收款账户：1811023809200019182</w:t>
      </w:r>
    </w:p>
    <w:p w14:paraId="15E6344B">
      <w:pPr>
        <w:pStyle w:val="2"/>
        <w:numPr>
          <w:ilvl w:val="0"/>
          <w:numId w:val="0"/>
        </w:numPr>
        <w:spacing w:before="91" w:line="219" w:lineRule="auto"/>
        <w:outlineLvl w:val="1"/>
        <w:rPr>
          <w:rFonts w:hint="default"/>
          <w:b/>
          <w:bCs/>
          <w:spacing w:val="-7"/>
          <w:sz w:val="24"/>
          <w:szCs w:val="24"/>
          <w:highlight w:val="none"/>
          <w:lang w:val="en-US" w:eastAsia="zh-CN"/>
        </w:rPr>
      </w:pPr>
      <w:r>
        <w:rPr>
          <w:rFonts w:hint="eastAsia"/>
          <w:b/>
          <w:bCs/>
          <w:spacing w:val="-7"/>
          <w:sz w:val="24"/>
          <w:szCs w:val="24"/>
          <w:highlight w:val="none"/>
          <w:lang w:val="en-US" w:eastAsia="zh-CN"/>
        </w:rPr>
        <w:t xml:space="preserve">         开户银行：中国工商银行鄂州葛店开发区支行</w:t>
      </w:r>
    </w:p>
    <w:p w14:paraId="2F04616A">
      <w:pPr>
        <w:pStyle w:val="2"/>
        <w:numPr>
          <w:ilvl w:val="0"/>
          <w:numId w:val="0"/>
        </w:numPr>
        <w:spacing w:before="91" w:line="219" w:lineRule="auto"/>
        <w:outlineLvl w:val="1"/>
        <w:rPr>
          <w:rFonts w:hint="default"/>
          <w:b/>
          <w:bCs/>
          <w:spacing w:val="-7"/>
          <w:sz w:val="28"/>
          <w:szCs w:val="28"/>
          <w:lang w:val="en-US" w:eastAsia="zh-CN"/>
        </w:rPr>
      </w:pPr>
      <w:r>
        <w:rPr>
          <w:rFonts w:hint="eastAsia"/>
          <w:b/>
          <w:bCs/>
          <w:spacing w:val="-7"/>
          <w:sz w:val="28"/>
          <w:szCs w:val="28"/>
          <w:lang w:val="en-US" w:eastAsia="zh-CN"/>
        </w:rPr>
        <w:t xml:space="preserve">        </w:t>
      </w:r>
    </w:p>
    <w:p w14:paraId="4461DCEE">
      <w:pPr>
        <w:pStyle w:val="2"/>
        <w:numPr>
          <w:ilvl w:val="0"/>
          <w:numId w:val="0"/>
        </w:numPr>
        <w:spacing w:before="91" w:line="219" w:lineRule="auto"/>
        <w:outlineLvl w:val="1"/>
        <w:rPr>
          <w:rFonts w:hint="default"/>
          <w:b/>
          <w:bCs/>
          <w:spacing w:val="-7"/>
          <w:sz w:val="28"/>
          <w:szCs w:val="28"/>
          <w:lang w:val="en-US" w:eastAsia="zh-CN"/>
        </w:rPr>
      </w:pPr>
      <w:r>
        <w:rPr>
          <w:rFonts w:hint="eastAsia"/>
          <w:b/>
          <w:bCs/>
          <w:spacing w:val="-7"/>
          <w:sz w:val="28"/>
          <w:szCs w:val="28"/>
          <w:lang w:val="en-US" w:eastAsia="zh-CN"/>
        </w:rPr>
        <w:t>十、评标规则</w:t>
      </w:r>
    </w:p>
    <w:p w14:paraId="480FCB46">
      <w:pPr>
        <w:pStyle w:val="2"/>
        <w:numPr>
          <w:ilvl w:val="0"/>
          <w:numId w:val="6"/>
        </w:numPr>
        <w:spacing w:before="91" w:line="219" w:lineRule="auto"/>
        <w:ind w:left="667" w:leftChars="0" w:firstLine="0" w:firstLineChars="0"/>
        <w:outlineLvl w:val="1"/>
        <w:rPr>
          <w:rFonts w:hint="eastAsia" w:ascii="宋体" w:hAnsi="宋体" w:eastAsia="宋体" w:cs="宋体"/>
          <w:b/>
          <w:bCs/>
          <w:color w:val="auto"/>
        </w:rPr>
      </w:pPr>
      <w:r>
        <w:rPr>
          <w:rFonts w:hint="eastAsia" w:ascii="宋体" w:hAnsi="宋体" w:eastAsia="宋体" w:cs="宋体"/>
          <w:b/>
          <w:bCs/>
          <w:color w:val="auto"/>
        </w:rPr>
        <w:t>综合评价法</w:t>
      </w:r>
    </w:p>
    <w:p w14:paraId="19EF7BC5">
      <w:pPr>
        <w:pStyle w:val="2"/>
        <w:numPr>
          <w:ilvl w:val="1"/>
          <w:numId w:val="7"/>
        </w:numPr>
        <w:spacing w:before="91" w:line="219" w:lineRule="auto"/>
        <w:ind w:left="667" w:leftChars="0"/>
        <w:outlineLvl w:val="1"/>
        <w:rPr>
          <w:rFonts w:hint="eastAsia" w:ascii="宋体" w:hAnsi="宋体" w:cs="宋体"/>
          <w:kern w:val="0"/>
          <w:sz w:val="24"/>
          <w:highlight w:val="none"/>
        </w:rPr>
      </w:pPr>
      <w:r>
        <w:rPr>
          <w:rFonts w:hint="eastAsia" w:ascii="宋体" w:hAnsi="宋体" w:cs="宋体"/>
          <w:kern w:val="0"/>
          <w:sz w:val="24"/>
          <w:highlight w:val="none"/>
        </w:rPr>
        <w:t>价格</w:t>
      </w:r>
      <w:r>
        <w:rPr>
          <w:rFonts w:hint="eastAsia" w:cs="宋体"/>
          <w:kern w:val="0"/>
          <w:sz w:val="24"/>
          <w:highlight w:val="none"/>
          <w:lang w:val="en-US" w:eastAsia="zh-CN"/>
        </w:rPr>
        <w:t>评分</w:t>
      </w:r>
      <w:r>
        <w:rPr>
          <w:rFonts w:hint="eastAsia" w:ascii="宋体" w:hAnsi="宋体" w:cs="宋体"/>
          <w:kern w:val="0"/>
          <w:sz w:val="24"/>
          <w:highlight w:val="none"/>
        </w:rPr>
        <w:t>(0-</w:t>
      </w:r>
      <w:r>
        <w:rPr>
          <w:rFonts w:hint="eastAsia" w:cs="宋体"/>
          <w:kern w:val="0"/>
          <w:sz w:val="24"/>
          <w:highlight w:val="none"/>
          <w:lang w:val="en-US" w:eastAsia="zh-CN"/>
        </w:rPr>
        <w:t>5</w:t>
      </w:r>
      <w:r>
        <w:rPr>
          <w:rFonts w:ascii="宋体" w:hAnsi="宋体" w:cs="宋体"/>
          <w:kern w:val="0"/>
          <w:sz w:val="24"/>
          <w:highlight w:val="none"/>
        </w:rPr>
        <w:t>0</w:t>
      </w:r>
      <w:r>
        <w:rPr>
          <w:rFonts w:hint="eastAsia" w:ascii="宋体" w:hAnsi="宋体" w:cs="宋体"/>
          <w:kern w:val="0"/>
          <w:sz w:val="24"/>
          <w:highlight w:val="none"/>
        </w:rPr>
        <w:t>分)</w:t>
      </w:r>
    </w:p>
    <w:p w14:paraId="6C81BB19">
      <w:pPr>
        <w:pStyle w:val="2"/>
        <w:numPr>
          <w:ilvl w:val="0"/>
          <w:numId w:val="0"/>
        </w:numPr>
        <w:spacing w:before="91" w:line="219" w:lineRule="auto"/>
        <w:ind w:left="667" w:leftChars="0" w:firstLine="480" w:firstLineChars="200"/>
        <w:outlineLvl w:val="1"/>
        <w:rPr>
          <w:rFonts w:ascii="宋体" w:hAnsi="宋体" w:cs="宋体"/>
          <w:sz w:val="24"/>
          <w:highlight w:val="none"/>
        </w:rPr>
      </w:pPr>
      <w:r>
        <w:rPr>
          <w:rFonts w:hint="eastAsia" w:ascii="宋体" w:hAnsi="宋体" w:cs="宋体"/>
          <w:kern w:val="0"/>
          <w:sz w:val="24"/>
          <w:highlight w:val="none"/>
        </w:rPr>
        <w:t>价格分值(0-</w:t>
      </w:r>
      <w:r>
        <w:rPr>
          <w:rFonts w:ascii="宋体" w:hAnsi="宋体" w:cs="宋体"/>
          <w:kern w:val="0"/>
          <w:sz w:val="24"/>
          <w:highlight w:val="none"/>
        </w:rPr>
        <w:t>50</w:t>
      </w:r>
      <w:r>
        <w:rPr>
          <w:rFonts w:hint="eastAsia" w:ascii="宋体" w:hAnsi="宋体" w:cs="宋体"/>
          <w:kern w:val="0"/>
          <w:sz w:val="24"/>
          <w:highlight w:val="none"/>
        </w:rPr>
        <w:t>分)</w:t>
      </w:r>
      <w:r>
        <w:rPr>
          <w:rFonts w:hint="eastAsia" w:ascii="宋体" w:hAnsi="宋体" w:cs="宋体"/>
          <w:sz w:val="24"/>
          <w:highlight w:val="none"/>
        </w:rPr>
        <w:t>通过初审的所有投标人的平均报价为评标基准价，其分值为</w:t>
      </w:r>
      <w:r>
        <w:rPr>
          <w:rFonts w:ascii="宋体" w:hAnsi="宋体" w:cs="宋体"/>
          <w:sz w:val="24"/>
          <w:highlight w:val="none"/>
        </w:rPr>
        <w:t>40</w:t>
      </w:r>
      <w:r>
        <w:rPr>
          <w:rFonts w:hint="eastAsia" w:ascii="宋体" w:hAnsi="宋体" w:cs="宋体"/>
          <w:sz w:val="24"/>
          <w:highlight w:val="none"/>
        </w:rPr>
        <w:t>分（基准分）。每高于评标基准价的1%</w:t>
      </w:r>
      <w:r>
        <w:rPr>
          <w:rFonts w:ascii="宋体" w:hAnsi="宋体" w:cs="宋体"/>
          <w:sz w:val="24"/>
          <w:highlight w:val="none"/>
        </w:rPr>
        <w:t>(</w:t>
      </w:r>
      <w:r>
        <w:rPr>
          <w:rFonts w:hint="eastAsia" w:ascii="宋体" w:hAnsi="宋体" w:cs="宋体"/>
          <w:sz w:val="24"/>
          <w:highlight w:val="none"/>
        </w:rPr>
        <w:t>不满1</w:t>
      </w:r>
      <w:r>
        <w:rPr>
          <w:rFonts w:ascii="宋体" w:hAnsi="宋体" w:cs="宋体"/>
          <w:sz w:val="24"/>
          <w:highlight w:val="none"/>
        </w:rPr>
        <w:t>%的按照</w:t>
      </w:r>
      <w:r>
        <w:rPr>
          <w:rFonts w:hint="eastAsia" w:ascii="宋体" w:hAnsi="宋体" w:cs="宋体"/>
          <w:sz w:val="24"/>
          <w:highlight w:val="none"/>
        </w:rPr>
        <w:t>1</w:t>
      </w:r>
      <w:r>
        <w:rPr>
          <w:rFonts w:ascii="宋体" w:hAnsi="宋体" w:cs="宋体"/>
          <w:sz w:val="24"/>
          <w:highlight w:val="none"/>
        </w:rPr>
        <w:t>%计算)</w:t>
      </w:r>
      <w:r>
        <w:rPr>
          <w:rFonts w:hint="eastAsia" w:ascii="宋体" w:hAnsi="宋体" w:cs="宋体"/>
          <w:sz w:val="24"/>
          <w:highlight w:val="none"/>
        </w:rPr>
        <w:t>在</w:t>
      </w:r>
      <w:r>
        <w:rPr>
          <w:rFonts w:ascii="宋体" w:hAnsi="宋体" w:cs="宋体"/>
          <w:sz w:val="24"/>
          <w:highlight w:val="none"/>
        </w:rPr>
        <w:t>基准分基础上</w:t>
      </w:r>
      <w:r>
        <w:rPr>
          <w:rFonts w:hint="eastAsia" w:ascii="宋体" w:hAnsi="宋体" w:cs="宋体"/>
          <w:sz w:val="24"/>
          <w:highlight w:val="none"/>
        </w:rPr>
        <w:t>扣0.5分；每</w:t>
      </w:r>
      <w:r>
        <w:rPr>
          <w:rFonts w:ascii="宋体" w:hAnsi="宋体" w:cs="宋体"/>
          <w:sz w:val="24"/>
          <w:highlight w:val="none"/>
        </w:rPr>
        <w:t>低于</w:t>
      </w:r>
      <w:r>
        <w:rPr>
          <w:rFonts w:hint="eastAsia" w:ascii="宋体" w:hAnsi="宋体" w:cs="宋体"/>
          <w:sz w:val="24"/>
          <w:highlight w:val="none"/>
        </w:rPr>
        <w:t>评标</w:t>
      </w:r>
      <w:r>
        <w:rPr>
          <w:rFonts w:ascii="宋体" w:hAnsi="宋体" w:cs="宋体"/>
          <w:sz w:val="24"/>
          <w:highlight w:val="none"/>
        </w:rPr>
        <w:t>基准价</w:t>
      </w:r>
      <w:r>
        <w:rPr>
          <w:rFonts w:hint="eastAsia" w:ascii="宋体" w:hAnsi="宋体" w:cs="宋体"/>
          <w:sz w:val="24"/>
          <w:highlight w:val="none"/>
        </w:rPr>
        <w:t>的1%</w:t>
      </w:r>
      <w:r>
        <w:rPr>
          <w:rFonts w:ascii="宋体" w:hAnsi="宋体" w:cs="宋体"/>
          <w:sz w:val="24"/>
          <w:highlight w:val="none"/>
        </w:rPr>
        <w:t>(</w:t>
      </w:r>
      <w:r>
        <w:rPr>
          <w:rFonts w:hint="eastAsia" w:ascii="宋体" w:hAnsi="宋体" w:cs="宋体"/>
          <w:sz w:val="24"/>
          <w:highlight w:val="none"/>
        </w:rPr>
        <w:t>不满1</w:t>
      </w:r>
      <w:r>
        <w:rPr>
          <w:rFonts w:ascii="宋体" w:hAnsi="宋体" w:cs="宋体"/>
          <w:sz w:val="24"/>
          <w:highlight w:val="none"/>
        </w:rPr>
        <w:t>%的按照</w:t>
      </w:r>
      <w:r>
        <w:rPr>
          <w:rFonts w:hint="eastAsia" w:ascii="宋体" w:hAnsi="宋体" w:cs="宋体"/>
          <w:sz w:val="24"/>
          <w:highlight w:val="none"/>
        </w:rPr>
        <w:t>1</w:t>
      </w:r>
      <w:r>
        <w:rPr>
          <w:rFonts w:ascii="宋体" w:hAnsi="宋体" w:cs="宋体"/>
          <w:sz w:val="24"/>
          <w:highlight w:val="none"/>
        </w:rPr>
        <w:t>%计算)</w:t>
      </w:r>
      <w:r>
        <w:rPr>
          <w:rFonts w:hint="eastAsia" w:ascii="宋体" w:hAnsi="宋体" w:cs="宋体"/>
          <w:sz w:val="24"/>
          <w:highlight w:val="none"/>
        </w:rPr>
        <w:t>在</w:t>
      </w:r>
      <w:r>
        <w:rPr>
          <w:rFonts w:ascii="宋体" w:hAnsi="宋体" w:cs="宋体"/>
          <w:sz w:val="24"/>
          <w:highlight w:val="none"/>
        </w:rPr>
        <w:t>基准分基础上</w:t>
      </w:r>
      <w:r>
        <w:rPr>
          <w:rFonts w:hint="eastAsia" w:ascii="宋体" w:hAnsi="宋体" w:cs="宋体"/>
          <w:sz w:val="24"/>
          <w:highlight w:val="none"/>
        </w:rPr>
        <w:t>加0.5分，</w:t>
      </w:r>
      <w:r>
        <w:rPr>
          <w:rFonts w:ascii="宋体" w:hAnsi="宋体" w:cs="宋体"/>
          <w:sz w:val="24"/>
          <w:highlight w:val="none"/>
        </w:rPr>
        <w:t>最高</w:t>
      </w:r>
      <w:r>
        <w:rPr>
          <w:rFonts w:hint="eastAsia" w:ascii="宋体" w:hAnsi="宋体" w:cs="宋体"/>
          <w:sz w:val="24"/>
          <w:highlight w:val="none"/>
        </w:rPr>
        <w:t>得50分</w:t>
      </w:r>
      <w:r>
        <w:rPr>
          <w:rFonts w:ascii="宋体" w:hAnsi="宋体" w:cs="宋体"/>
          <w:sz w:val="24"/>
          <w:highlight w:val="none"/>
        </w:rPr>
        <w:t>。</w:t>
      </w:r>
    </w:p>
    <w:p w14:paraId="04F7CC53">
      <w:pPr>
        <w:pStyle w:val="2"/>
        <w:numPr>
          <w:ilvl w:val="0"/>
          <w:numId w:val="0"/>
        </w:numPr>
        <w:spacing w:before="91" w:line="219" w:lineRule="auto"/>
        <w:ind w:left="718" w:leftChars="342" w:firstLine="0" w:firstLineChars="0"/>
        <w:outlineLvl w:val="1"/>
        <w:rPr>
          <w:rFonts w:ascii="宋体" w:hAnsi="宋体" w:cs="宋体"/>
          <w:sz w:val="24"/>
          <w:highlight w:val="none"/>
        </w:rPr>
      </w:pPr>
    </w:p>
    <w:p w14:paraId="508B6041">
      <w:pPr>
        <w:pStyle w:val="2"/>
        <w:numPr>
          <w:ilvl w:val="1"/>
          <w:numId w:val="7"/>
        </w:numPr>
        <w:spacing w:before="91" w:line="219" w:lineRule="auto"/>
        <w:ind w:left="667" w:leftChars="0" w:firstLine="0" w:firstLineChars="0"/>
        <w:outlineLvl w:val="1"/>
        <w:rPr>
          <w:rFonts w:hint="eastAsia" w:cs="宋体"/>
          <w:kern w:val="0"/>
          <w:sz w:val="24"/>
          <w:highlight w:val="none"/>
          <w:lang w:val="en-US" w:eastAsia="zh-CN"/>
        </w:rPr>
      </w:pPr>
      <w:r>
        <w:rPr>
          <w:rFonts w:hint="eastAsia" w:cs="宋体"/>
          <w:kern w:val="0"/>
          <w:sz w:val="24"/>
          <w:highlight w:val="none"/>
          <w:lang w:val="en-US" w:eastAsia="zh-CN"/>
        </w:rPr>
        <w:t>供方产能及技术方案评分（0-15分）</w:t>
      </w:r>
    </w:p>
    <w:p w14:paraId="742B5434">
      <w:pPr>
        <w:pStyle w:val="2"/>
        <w:numPr>
          <w:ilvl w:val="0"/>
          <w:numId w:val="0"/>
        </w:numPr>
        <w:spacing w:before="91" w:line="219" w:lineRule="auto"/>
        <w:ind w:left="958" w:leftChars="342" w:hanging="240" w:hangingChars="100"/>
        <w:outlineLvl w:val="1"/>
        <w:rPr>
          <w:rFonts w:hint="default" w:cs="宋体"/>
          <w:kern w:val="0"/>
          <w:sz w:val="24"/>
          <w:highlight w:val="none"/>
          <w:lang w:val="en-US" w:eastAsia="zh-CN"/>
        </w:rPr>
      </w:pPr>
      <w:r>
        <w:rPr>
          <w:rFonts w:hint="eastAsia" w:cs="宋体"/>
          <w:kern w:val="0"/>
          <w:sz w:val="24"/>
          <w:highlight w:val="none"/>
          <w:lang w:val="en-US" w:eastAsia="zh-CN"/>
        </w:rPr>
        <w:t>1.2.1 生产规模100人以上，铸钢件的年产能不低于2万吨，单件铸造能力</w:t>
      </w:r>
    </w:p>
    <w:p w14:paraId="7662DFD7">
      <w:pPr>
        <w:pStyle w:val="2"/>
        <w:numPr>
          <w:ilvl w:val="0"/>
          <w:numId w:val="0"/>
        </w:numPr>
        <w:spacing w:before="91" w:line="219" w:lineRule="auto"/>
        <w:ind w:left="958" w:leftChars="342" w:hanging="240" w:hangingChars="100"/>
        <w:outlineLvl w:val="1"/>
        <w:rPr>
          <w:rFonts w:hint="default" w:cs="宋体"/>
          <w:kern w:val="0"/>
          <w:sz w:val="24"/>
          <w:highlight w:val="none"/>
          <w:lang w:val="en-US" w:eastAsia="zh-CN"/>
        </w:rPr>
      </w:pPr>
      <w:r>
        <w:rPr>
          <w:rFonts w:hint="eastAsia" w:cs="宋体"/>
          <w:kern w:val="0"/>
          <w:sz w:val="24"/>
          <w:highlight w:val="none"/>
          <w:lang w:val="en-US" w:eastAsia="zh-CN"/>
        </w:rPr>
        <w:t>能满足标的产品重量，满分5分，每项不满足扣1分</w:t>
      </w:r>
    </w:p>
    <w:p w14:paraId="1CCD8391">
      <w:pPr>
        <w:pStyle w:val="2"/>
        <w:numPr>
          <w:ilvl w:val="0"/>
          <w:numId w:val="0"/>
        </w:numPr>
        <w:spacing w:before="91" w:line="219" w:lineRule="auto"/>
        <w:ind w:left="720" w:leftChars="0" w:hanging="720" w:hangingChars="300"/>
        <w:outlineLvl w:val="1"/>
        <w:rPr>
          <w:rFonts w:hint="eastAsia" w:cs="宋体"/>
          <w:kern w:val="0"/>
          <w:sz w:val="24"/>
          <w:highlight w:val="none"/>
          <w:lang w:val="en-US" w:eastAsia="zh-CN"/>
        </w:rPr>
      </w:pPr>
      <w:r>
        <w:rPr>
          <w:rFonts w:hint="eastAsia" w:cs="宋体"/>
          <w:kern w:val="0"/>
          <w:sz w:val="24"/>
          <w:highlight w:val="none"/>
          <w:lang w:val="en-US" w:eastAsia="zh-CN"/>
        </w:rPr>
        <w:t xml:space="preserve">      1.2.2 提供加工设备清单、加工能力能满足标的产品的加工精度要求的得5分，部分满足要求的得3分，完全不满足要求的得0分。</w:t>
      </w:r>
    </w:p>
    <w:p w14:paraId="618121A9">
      <w:pPr>
        <w:pStyle w:val="2"/>
        <w:numPr>
          <w:ilvl w:val="0"/>
          <w:numId w:val="0"/>
        </w:numPr>
        <w:spacing w:before="91" w:line="219" w:lineRule="auto"/>
        <w:ind w:left="720" w:leftChars="0" w:hanging="720" w:hangingChars="300"/>
        <w:outlineLvl w:val="1"/>
        <w:rPr>
          <w:rFonts w:hint="default" w:cs="宋体"/>
          <w:kern w:val="0"/>
          <w:sz w:val="24"/>
          <w:highlight w:val="none"/>
          <w:lang w:val="en-US" w:eastAsia="zh-CN"/>
        </w:rPr>
      </w:pPr>
      <w:r>
        <w:rPr>
          <w:rFonts w:hint="eastAsia" w:cs="宋体"/>
          <w:kern w:val="0"/>
          <w:sz w:val="24"/>
          <w:highlight w:val="none"/>
          <w:lang w:val="en-US" w:eastAsia="zh-CN"/>
        </w:rPr>
        <w:t xml:space="preserve">      1.2.3 制造技术方案评定（0-5分）：技术方案详实、工艺先进可靠，最优者得5分，最差者得0分。</w:t>
      </w:r>
    </w:p>
    <w:p w14:paraId="6A948DA5">
      <w:pPr>
        <w:pStyle w:val="2"/>
        <w:numPr>
          <w:ilvl w:val="0"/>
          <w:numId w:val="0"/>
        </w:numPr>
        <w:spacing w:before="91" w:line="219" w:lineRule="auto"/>
        <w:outlineLvl w:val="1"/>
        <w:rPr>
          <w:rFonts w:hint="default" w:cs="宋体"/>
          <w:kern w:val="0"/>
          <w:sz w:val="24"/>
          <w:highlight w:val="none"/>
          <w:lang w:val="en-US" w:eastAsia="zh-CN"/>
        </w:rPr>
      </w:pPr>
    </w:p>
    <w:p w14:paraId="6C0575FA">
      <w:pPr>
        <w:pStyle w:val="2"/>
        <w:numPr>
          <w:ilvl w:val="1"/>
          <w:numId w:val="7"/>
        </w:numPr>
        <w:spacing w:before="91" w:line="219" w:lineRule="auto"/>
        <w:ind w:left="667" w:leftChars="0" w:firstLine="0" w:firstLineChars="0"/>
        <w:outlineLvl w:val="1"/>
        <w:rPr>
          <w:rFonts w:hint="eastAsia" w:cs="宋体"/>
          <w:kern w:val="0"/>
          <w:sz w:val="24"/>
          <w:highlight w:val="none"/>
          <w:lang w:val="en-US" w:eastAsia="zh-CN"/>
        </w:rPr>
      </w:pPr>
      <w:r>
        <w:rPr>
          <w:rFonts w:hint="eastAsia" w:cs="宋体"/>
          <w:kern w:val="0"/>
          <w:sz w:val="24"/>
          <w:highlight w:val="none"/>
          <w:lang w:val="en-US" w:eastAsia="zh-CN"/>
        </w:rPr>
        <w:t>质量保证能力评分（0-15分）</w:t>
      </w:r>
    </w:p>
    <w:p w14:paraId="0DF9D0A8">
      <w:pPr>
        <w:pStyle w:val="2"/>
        <w:numPr>
          <w:ilvl w:val="0"/>
          <w:numId w:val="0"/>
        </w:numPr>
        <w:spacing w:before="91" w:line="219" w:lineRule="auto"/>
        <w:ind w:left="667" w:leftChars="0"/>
        <w:outlineLvl w:val="1"/>
        <w:rPr>
          <w:rFonts w:hint="default" w:cs="宋体"/>
          <w:kern w:val="0"/>
          <w:sz w:val="24"/>
          <w:highlight w:val="none"/>
          <w:lang w:val="en-US" w:eastAsia="zh-CN"/>
        </w:rPr>
      </w:pPr>
      <w:r>
        <w:rPr>
          <w:rFonts w:hint="eastAsia" w:cs="宋体"/>
          <w:kern w:val="0"/>
          <w:sz w:val="24"/>
          <w:highlight w:val="none"/>
          <w:lang w:val="en-US" w:eastAsia="zh-CN"/>
        </w:rPr>
        <w:t>1.3.1 提供铸造及加工过程检测设备和专业检验人员资质清单，得3分，根据产品的铸造和加工要求能提供更先进工艺或先进、更高检测精度设备、更全面的检验专业人员资质的对产品质量有实质性提升的每项加1分，满分5分。</w:t>
      </w:r>
    </w:p>
    <w:p w14:paraId="1FF16CF7">
      <w:pPr>
        <w:pStyle w:val="2"/>
        <w:numPr>
          <w:ilvl w:val="0"/>
          <w:numId w:val="0"/>
        </w:numPr>
        <w:spacing w:before="91" w:line="219" w:lineRule="auto"/>
        <w:ind w:left="667" w:leftChars="0"/>
        <w:outlineLvl w:val="1"/>
        <w:rPr>
          <w:rFonts w:hint="eastAsia" w:cs="宋体"/>
          <w:kern w:val="0"/>
          <w:sz w:val="24"/>
          <w:highlight w:val="none"/>
          <w:lang w:val="en-US" w:eastAsia="zh-CN"/>
        </w:rPr>
      </w:pPr>
      <w:r>
        <w:rPr>
          <w:rFonts w:hint="eastAsia" w:cs="宋体"/>
          <w:kern w:val="0"/>
          <w:sz w:val="24"/>
          <w:highlight w:val="none"/>
          <w:lang w:val="en-US" w:eastAsia="zh-CN"/>
        </w:rPr>
        <w:t>1.3.2 铸件探伤要求能满足标的产品的得5分。</w:t>
      </w:r>
    </w:p>
    <w:p w14:paraId="2B0B7467">
      <w:pPr>
        <w:pStyle w:val="2"/>
        <w:numPr>
          <w:ilvl w:val="0"/>
          <w:numId w:val="0"/>
        </w:numPr>
        <w:spacing w:before="91" w:line="219" w:lineRule="auto"/>
        <w:ind w:left="667" w:leftChars="0"/>
        <w:outlineLvl w:val="1"/>
        <w:rPr>
          <w:rFonts w:hint="default" w:cs="宋体"/>
          <w:kern w:val="0"/>
          <w:sz w:val="24"/>
          <w:highlight w:val="none"/>
          <w:lang w:val="en-US" w:eastAsia="zh-CN"/>
        </w:rPr>
      </w:pPr>
      <w:r>
        <w:rPr>
          <w:rFonts w:hint="eastAsia" w:cs="宋体"/>
          <w:kern w:val="0"/>
          <w:sz w:val="24"/>
          <w:highlight w:val="none"/>
          <w:lang w:val="en-US" w:eastAsia="zh-CN"/>
        </w:rPr>
        <w:t>1.3.3 提供质量控制策划文件保证实施质量，能够对各个制造环节编制完整质量控制计划且控制措施有效得5分，无质量管控措施的得0分。</w:t>
      </w:r>
    </w:p>
    <w:p w14:paraId="00417D62">
      <w:pPr>
        <w:pStyle w:val="2"/>
        <w:numPr>
          <w:ilvl w:val="0"/>
          <w:numId w:val="0"/>
        </w:numPr>
        <w:spacing w:before="91" w:line="219" w:lineRule="auto"/>
        <w:outlineLvl w:val="1"/>
        <w:rPr>
          <w:rFonts w:hint="eastAsia" w:ascii="宋体" w:hAnsi="宋体" w:cs="宋体"/>
          <w:kern w:val="0"/>
          <w:sz w:val="24"/>
        </w:rPr>
      </w:pPr>
    </w:p>
    <w:p w14:paraId="41667966">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1.4 企业</w:t>
      </w:r>
      <w:r>
        <w:rPr>
          <w:rFonts w:hint="eastAsia" w:ascii="宋体" w:hAnsi="宋体" w:cs="宋体"/>
          <w:kern w:val="0"/>
          <w:sz w:val="24"/>
          <w:highlight w:val="none"/>
        </w:rPr>
        <w:t>的品牌</w:t>
      </w:r>
      <w:r>
        <w:rPr>
          <w:rFonts w:hint="eastAsia" w:cs="宋体"/>
          <w:kern w:val="0"/>
          <w:sz w:val="24"/>
          <w:highlight w:val="none"/>
          <w:lang w:val="en-US" w:eastAsia="zh-CN"/>
        </w:rPr>
        <w:t>价值</w:t>
      </w:r>
      <w:r>
        <w:rPr>
          <w:rFonts w:hint="eastAsia" w:ascii="宋体" w:hAnsi="宋体" w:cs="宋体"/>
          <w:kern w:val="0"/>
          <w:sz w:val="24"/>
          <w:highlight w:val="none"/>
        </w:rPr>
        <w:t>评</w:t>
      </w:r>
      <w:r>
        <w:rPr>
          <w:rFonts w:hint="eastAsia" w:cs="宋体"/>
          <w:kern w:val="0"/>
          <w:sz w:val="24"/>
          <w:highlight w:val="none"/>
          <w:lang w:eastAsia="zh-CN"/>
        </w:rPr>
        <w:t>分</w:t>
      </w:r>
      <w:r>
        <w:rPr>
          <w:rFonts w:hint="eastAsia" w:ascii="宋体" w:hAnsi="宋体" w:cs="宋体"/>
          <w:kern w:val="0"/>
          <w:sz w:val="24"/>
          <w:highlight w:val="none"/>
        </w:rPr>
        <w:t>（</w:t>
      </w:r>
      <w:r>
        <w:rPr>
          <w:rFonts w:hint="eastAsia" w:cs="宋体"/>
          <w:kern w:val="0"/>
          <w:sz w:val="24"/>
          <w:highlight w:val="none"/>
          <w:lang w:val="en-US" w:eastAsia="zh-CN"/>
        </w:rPr>
        <w:t>3</w:t>
      </w:r>
      <w:r>
        <w:rPr>
          <w:rFonts w:hint="eastAsia" w:ascii="宋体" w:hAnsi="宋体" w:cs="宋体"/>
          <w:kern w:val="0"/>
          <w:sz w:val="24"/>
          <w:highlight w:val="none"/>
        </w:rPr>
        <w:t>分）评委对</w:t>
      </w:r>
      <w:r>
        <w:rPr>
          <w:rFonts w:hint="eastAsia" w:cs="宋体"/>
          <w:kern w:val="0"/>
          <w:sz w:val="24"/>
          <w:highlight w:val="none"/>
          <w:lang w:val="en-US" w:eastAsia="zh-CN"/>
        </w:rPr>
        <w:t>竞标企业</w:t>
      </w:r>
      <w:r>
        <w:rPr>
          <w:rFonts w:hint="eastAsia" w:ascii="宋体" w:hAnsi="宋体" w:cs="宋体"/>
          <w:kern w:val="0"/>
          <w:sz w:val="24"/>
          <w:highlight w:val="none"/>
        </w:rPr>
        <w:t>的品牌知名度、市场占有率进行总体评价，品牌知名度和市场占有率高得</w:t>
      </w:r>
      <w:r>
        <w:rPr>
          <w:rFonts w:hint="eastAsia" w:cs="宋体"/>
          <w:kern w:val="0"/>
          <w:sz w:val="24"/>
          <w:highlight w:val="none"/>
          <w:lang w:val="en-US" w:eastAsia="zh-CN"/>
        </w:rPr>
        <w:t>6</w:t>
      </w:r>
      <w:r>
        <w:rPr>
          <w:rFonts w:hint="eastAsia" w:ascii="宋体" w:hAnsi="宋体" w:cs="宋体"/>
          <w:kern w:val="0"/>
          <w:sz w:val="24"/>
          <w:highlight w:val="none"/>
        </w:rPr>
        <w:t>分；品牌知名度和市场占有率中等得</w:t>
      </w:r>
      <w:r>
        <w:rPr>
          <w:rFonts w:hint="eastAsia" w:cs="宋体"/>
          <w:kern w:val="0"/>
          <w:sz w:val="24"/>
          <w:highlight w:val="none"/>
          <w:lang w:val="en-US" w:eastAsia="zh-CN"/>
        </w:rPr>
        <w:t>4</w:t>
      </w:r>
      <w:r>
        <w:rPr>
          <w:rFonts w:hint="eastAsia" w:ascii="宋体" w:hAnsi="宋体" w:cs="宋体"/>
          <w:kern w:val="0"/>
          <w:sz w:val="24"/>
          <w:highlight w:val="none"/>
        </w:rPr>
        <w:t>分；品牌知名度和市场占有率较低得</w:t>
      </w:r>
      <w:r>
        <w:rPr>
          <w:rFonts w:ascii="宋体" w:hAnsi="宋体" w:cs="宋体"/>
          <w:kern w:val="0"/>
          <w:sz w:val="24"/>
          <w:highlight w:val="none"/>
        </w:rPr>
        <w:t>2</w:t>
      </w:r>
      <w:r>
        <w:rPr>
          <w:rFonts w:hint="eastAsia" w:ascii="宋体" w:hAnsi="宋体" w:cs="宋体"/>
          <w:kern w:val="0"/>
          <w:sz w:val="24"/>
          <w:highlight w:val="none"/>
        </w:rPr>
        <w:t>分。</w:t>
      </w:r>
    </w:p>
    <w:p w14:paraId="3AF3645F">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 xml:space="preserve">1.5  </w:t>
      </w:r>
      <w:r>
        <w:rPr>
          <w:rFonts w:hint="eastAsia" w:ascii="宋体" w:hAnsi="宋体" w:cs="宋体"/>
          <w:kern w:val="0"/>
          <w:sz w:val="24"/>
          <w:highlight w:val="none"/>
        </w:rPr>
        <w:t>售后服务方案</w:t>
      </w:r>
      <w:r>
        <w:rPr>
          <w:rFonts w:hint="eastAsia" w:cs="宋体"/>
          <w:kern w:val="0"/>
          <w:sz w:val="24"/>
          <w:highlight w:val="none"/>
          <w:lang w:val="en-US" w:eastAsia="zh-CN"/>
        </w:rPr>
        <w:t>评分</w:t>
      </w:r>
      <w:r>
        <w:rPr>
          <w:rFonts w:hint="eastAsia" w:ascii="宋体" w:hAnsi="宋体" w:cs="宋体"/>
          <w:kern w:val="0"/>
          <w:sz w:val="24"/>
          <w:highlight w:val="none"/>
        </w:rPr>
        <w:t xml:space="preserve"> （</w:t>
      </w:r>
      <w:r>
        <w:rPr>
          <w:rFonts w:hint="eastAsia" w:cs="宋体"/>
          <w:kern w:val="0"/>
          <w:sz w:val="24"/>
          <w:highlight w:val="none"/>
          <w:lang w:val="en-US" w:eastAsia="zh-CN"/>
        </w:rPr>
        <w:t>0-5</w:t>
      </w:r>
      <w:r>
        <w:rPr>
          <w:rFonts w:hint="eastAsia" w:ascii="宋体" w:hAnsi="宋体" w:cs="宋体"/>
          <w:kern w:val="0"/>
          <w:sz w:val="24"/>
          <w:highlight w:val="none"/>
        </w:rPr>
        <w:t>分）评委根据投标人提供的售后服务方案（如</w:t>
      </w:r>
      <w:r>
        <w:rPr>
          <w:rFonts w:hint="eastAsia" w:cs="宋体"/>
          <w:kern w:val="0"/>
          <w:sz w:val="24"/>
          <w:highlight w:val="none"/>
          <w:lang w:val="en-US" w:eastAsia="zh-CN"/>
        </w:rPr>
        <w:t>质保期、响应及时性、</w:t>
      </w:r>
      <w:r>
        <w:rPr>
          <w:rFonts w:hint="eastAsia" w:ascii="宋体" w:hAnsi="宋体" w:cs="宋体"/>
          <w:kern w:val="0"/>
          <w:sz w:val="24"/>
          <w:highlight w:val="none"/>
        </w:rPr>
        <w:t>服务体系、服务内容、故障解决方案、专业技术人员保障及服务电话等） 综合评分：</w:t>
      </w:r>
    </w:p>
    <w:p w14:paraId="2288B285">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ascii="宋体" w:hAnsi="宋体" w:cs="宋体"/>
          <w:kern w:val="0"/>
          <w:sz w:val="24"/>
          <w:highlight w:val="none"/>
        </w:rPr>
        <w:t>1</w:t>
      </w:r>
      <w:r>
        <w:rPr>
          <w:rFonts w:hint="eastAsia" w:cs="宋体"/>
          <w:kern w:val="0"/>
          <w:sz w:val="24"/>
          <w:highlight w:val="none"/>
          <w:lang w:eastAsia="zh-CN"/>
        </w:rPr>
        <w:t>.</w:t>
      </w:r>
      <w:r>
        <w:rPr>
          <w:rFonts w:hint="eastAsia" w:cs="宋体"/>
          <w:kern w:val="0"/>
          <w:sz w:val="24"/>
          <w:highlight w:val="none"/>
          <w:lang w:val="en-US" w:eastAsia="zh-CN"/>
        </w:rPr>
        <w:t xml:space="preserve">5.1 </w:t>
      </w:r>
      <w:r>
        <w:rPr>
          <w:rFonts w:hint="eastAsia" w:ascii="宋体" w:hAnsi="宋体" w:cs="宋体"/>
          <w:kern w:val="0"/>
          <w:sz w:val="24"/>
          <w:highlight w:val="none"/>
        </w:rPr>
        <w:t>投标人具备非常完善的服务体系，</w:t>
      </w:r>
      <w:r>
        <w:rPr>
          <w:rFonts w:hint="eastAsia" w:cs="宋体"/>
          <w:kern w:val="0"/>
          <w:sz w:val="24"/>
          <w:highlight w:val="none"/>
          <w:lang w:val="en-US" w:eastAsia="zh-CN"/>
        </w:rPr>
        <w:t>超过需方要求的质保期、</w:t>
      </w:r>
      <w:r>
        <w:rPr>
          <w:rFonts w:hint="eastAsia" w:ascii="宋体" w:hAnsi="宋体" w:cs="宋体"/>
          <w:kern w:val="0"/>
          <w:sz w:val="24"/>
          <w:highlight w:val="none"/>
        </w:rPr>
        <w:t>全面的服务内容、可行的故障解决方案、可靠的专业技术人员保障和服务电话的，得5分；</w:t>
      </w:r>
    </w:p>
    <w:p w14:paraId="706EE974">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 xml:space="preserve">1.5.2 </w:t>
      </w:r>
      <w:r>
        <w:rPr>
          <w:rFonts w:hint="eastAsia" w:ascii="宋体" w:hAnsi="宋体" w:cs="宋体"/>
          <w:kern w:val="0"/>
          <w:sz w:val="24"/>
          <w:highlight w:val="none"/>
        </w:rPr>
        <w:t>投标人具备较为完善的服务体系，</w:t>
      </w:r>
      <w:r>
        <w:rPr>
          <w:rFonts w:hint="eastAsia" w:cs="宋体"/>
          <w:kern w:val="0"/>
          <w:sz w:val="24"/>
          <w:highlight w:val="none"/>
          <w:lang w:val="en-US" w:eastAsia="zh-CN"/>
        </w:rPr>
        <w:t>响应需方要求的质保期，</w:t>
      </w:r>
      <w:r>
        <w:rPr>
          <w:rFonts w:hint="eastAsia" w:ascii="宋体" w:hAnsi="宋体" w:cs="宋体"/>
          <w:kern w:val="0"/>
          <w:sz w:val="24"/>
          <w:highlight w:val="none"/>
        </w:rPr>
        <w:t xml:space="preserve">全面的服务内容、可行的故障解决方案、可靠的专业技术人员保障和服务电话的，得3分； </w:t>
      </w:r>
    </w:p>
    <w:p w14:paraId="5FF4D7F1">
      <w:pPr>
        <w:pStyle w:val="2"/>
        <w:numPr>
          <w:ilvl w:val="0"/>
          <w:numId w:val="0"/>
        </w:numPr>
        <w:spacing w:before="91" w:line="219" w:lineRule="auto"/>
        <w:ind w:left="667" w:leftChars="0"/>
        <w:outlineLvl w:val="1"/>
        <w:rPr>
          <w:rFonts w:hint="eastAsia" w:ascii="宋体" w:hAnsi="宋体" w:eastAsia="宋体" w:cs="宋体"/>
          <w:kern w:val="0"/>
          <w:sz w:val="24"/>
          <w:highlight w:val="none"/>
          <w:lang w:val="en-US" w:eastAsia="zh-CN"/>
        </w:rPr>
      </w:pPr>
      <w:r>
        <w:rPr>
          <w:rFonts w:hint="eastAsia" w:cs="宋体"/>
          <w:kern w:val="0"/>
          <w:sz w:val="24"/>
          <w:highlight w:val="none"/>
          <w:lang w:val="en-US" w:eastAsia="zh-CN"/>
        </w:rPr>
        <w:t xml:space="preserve">1.5.3 </w:t>
      </w:r>
      <w:r>
        <w:rPr>
          <w:rFonts w:hint="eastAsia" w:ascii="宋体" w:hAnsi="宋体" w:cs="宋体"/>
          <w:kern w:val="0"/>
          <w:sz w:val="24"/>
          <w:highlight w:val="none"/>
        </w:rPr>
        <w:t>投标人具备一般性的服务保障体系，</w:t>
      </w:r>
      <w:r>
        <w:rPr>
          <w:rFonts w:hint="eastAsia" w:cs="宋体"/>
          <w:kern w:val="0"/>
          <w:sz w:val="24"/>
          <w:highlight w:val="none"/>
          <w:lang w:val="en-US" w:eastAsia="zh-CN"/>
        </w:rPr>
        <w:t>响应需方要求的质保期，</w:t>
      </w:r>
      <w:r>
        <w:rPr>
          <w:rFonts w:hint="eastAsia" w:ascii="宋体" w:hAnsi="宋体" w:cs="宋体"/>
          <w:kern w:val="0"/>
          <w:sz w:val="24"/>
          <w:highlight w:val="none"/>
        </w:rPr>
        <w:t>服务内容一般，故障解决方案针对性和专业技术人员业务能力一般的，得</w:t>
      </w:r>
      <w:r>
        <w:rPr>
          <w:rFonts w:hint="eastAsia" w:cs="宋体"/>
          <w:kern w:val="0"/>
          <w:sz w:val="24"/>
          <w:highlight w:val="none"/>
          <w:lang w:val="en-US" w:eastAsia="zh-CN"/>
        </w:rPr>
        <w:t>2</w:t>
      </w:r>
      <w:r>
        <w:rPr>
          <w:rFonts w:hint="eastAsia" w:ascii="宋体" w:hAnsi="宋体" w:cs="宋体"/>
          <w:kern w:val="0"/>
          <w:sz w:val="24"/>
          <w:highlight w:val="none"/>
        </w:rPr>
        <w:t>分</w:t>
      </w:r>
      <w:r>
        <w:rPr>
          <w:rFonts w:hint="eastAsia" w:cs="宋体"/>
          <w:kern w:val="0"/>
          <w:sz w:val="24"/>
          <w:highlight w:val="none"/>
          <w:lang w:eastAsia="zh-CN"/>
        </w:rPr>
        <w:t>。</w:t>
      </w:r>
    </w:p>
    <w:p w14:paraId="2AF01DF9">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 xml:space="preserve">1.5.4 </w:t>
      </w:r>
      <w:r>
        <w:rPr>
          <w:rFonts w:hint="eastAsia" w:ascii="宋体" w:hAnsi="宋体" w:cs="宋体"/>
          <w:kern w:val="0"/>
          <w:sz w:val="24"/>
          <w:highlight w:val="none"/>
        </w:rPr>
        <w:t>售后服务</w:t>
      </w:r>
      <w:r>
        <w:rPr>
          <w:rFonts w:hint="eastAsia" w:cs="宋体"/>
          <w:kern w:val="0"/>
          <w:sz w:val="24"/>
          <w:highlight w:val="none"/>
          <w:lang w:val="en-US" w:eastAsia="zh-CN"/>
        </w:rPr>
        <w:t>不响应需方要求的质保期，</w:t>
      </w:r>
      <w:r>
        <w:rPr>
          <w:rFonts w:hint="eastAsia" w:ascii="宋体" w:hAnsi="宋体" w:cs="宋体"/>
          <w:kern w:val="0"/>
          <w:sz w:val="24"/>
          <w:highlight w:val="none"/>
        </w:rPr>
        <w:t>方案差及未提供售后服务方案得</w:t>
      </w:r>
      <w:r>
        <w:rPr>
          <w:rFonts w:hint="eastAsia" w:cs="宋体"/>
          <w:kern w:val="0"/>
          <w:sz w:val="24"/>
          <w:highlight w:val="none"/>
          <w:lang w:val="en-US" w:eastAsia="zh-CN"/>
        </w:rPr>
        <w:t xml:space="preserve"> </w:t>
      </w:r>
      <w:r>
        <w:rPr>
          <w:rFonts w:hint="eastAsia" w:ascii="宋体" w:hAnsi="宋体" w:cs="宋体"/>
          <w:kern w:val="0"/>
          <w:sz w:val="24"/>
          <w:highlight w:val="none"/>
        </w:rPr>
        <w:t>0分。</w:t>
      </w:r>
    </w:p>
    <w:p w14:paraId="31535D34">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 xml:space="preserve">1.6 </w:t>
      </w:r>
      <w:r>
        <w:rPr>
          <w:rFonts w:hint="eastAsia" w:ascii="宋体" w:hAnsi="宋体" w:cs="宋体"/>
          <w:kern w:val="0"/>
          <w:sz w:val="24"/>
          <w:highlight w:val="none"/>
        </w:rPr>
        <w:t>商务</w:t>
      </w:r>
      <w:r>
        <w:rPr>
          <w:rFonts w:hint="eastAsia" w:cs="宋体"/>
          <w:kern w:val="0"/>
          <w:sz w:val="24"/>
          <w:highlight w:val="none"/>
          <w:lang w:val="en-US" w:eastAsia="zh-CN"/>
        </w:rPr>
        <w:t>评分</w:t>
      </w:r>
      <w:r>
        <w:rPr>
          <w:rFonts w:hint="eastAsia" w:ascii="宋体" w:hAnsi="宋体" w:cs="宋体"/>
          <w:kern w:val="0"/>
          <w:sz w:val="24"/>
          <w:highlight w:val="none"/>
        </w:rPr>
        <w:t>（0-</w:t>
      </w:r>
      <w:r>
        <w:rPr>
          <w:rFonts w:hint="eastAsia" w:cs="宋体"/>
          <w:kern w:val="0"/>
          <w:sz w:val="24"/>
          <w:highlight w:val="none"/>
          <w:lang w:val="en-US" w:eastAsia="zh-CN"/>
        </w:rPr>
        <w:t>12</w:t>
      </w:r>
      <w:r>
        <w:rPr>
          <w:rFonts w:hint="eastAsia" w:ascii="宋体" w:hAnsi="宋体" w:cs="宋体"/>
          <w:kern w:val="0"/>
          <w:sz w:val="24"/>
          <w:highlight w:val="none"/>
        </w:rPr>
        <w:t>分）</w:t>
      </w:r>
    </w:p>
    <w:p w14:paraId="362FF485">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1.6.1 付款方式完全</w:t>
      </w:r>
      <w:r>
        <w:rPr>
          <w:rFonts w:hint="eastAsia" w:ascii="宋体" w:hAnsi="宋体" w:cs="宋体"/>
          <w:kern w:val="0"/>
          <w:sz w:val="24"/>
          <w:highlight w:val="none"/>
        </w:rPr>
        <w:t>响应</w:t>
      </w:r>
      <w:r>
        <w:rPr>
          <w:rFonts w:hint="eastAsia" w:cs="宋体"/>
          <w:kern w:val="0"/>
          <w:sz w:val="24"/>
          <w:highlight w:val="none"/>
          <w:lang w:eastAsia="zh-CN"/>
        </w:rPr>
        <w:t>的</w:t>
      </w:r>
      <w:r>
        <w:rPr>
          <w:rFonts w:hint="eastAsia" w:cs="宋体"/>
          <w:kern w:val="0"/>
          <w:sz w:val="24"/>
          <w:highlight w:val="none"/>
          <w:lang w:val="en-US" w:eastAsia="zh-CN"/>
        </w:rPr>
        <w:t>得6</w:t>
      </w:r>
      <w:r>
        <w:rPr>
          <w:rFonts w:hint="eastAsia" w:ascii="宋体" w:hAnsi="宋体" w:cs="宋体"/>
          <w:kern w:val="0"/>
          <w:sz w:val="24"/>
          <w:highlight w:val="none"/>
        </w:rPr>
        <w:t>分</w:t>
      </w:r>
      <w:r>
        <w:rPr>
          <w:rFonts w:hint="eastAsia" w:cs="宋体"/>
          <w:kern w:val="0"/>
          <w:sz w:val="24"/>
          <w:highlight w:val="none"/>
          <w:lang w:eastAsia="zh-CN"/>
        </w:rPr>
        <w:t>，</w:t>
      </w:r>
      <w:r>
        <w:rPr>
          <w:rFonts w:hint="eastAsia" w:cs="宋体"/>
          <w:kern w:val="0"/>
          <w:sz w:val="24"/>
          <w:highlight w:val="none"/>
          <w:lang w:val="en-US" w:eastAsia="zh-CN"/>
        </w:rPr>
        <w:t>相对较优者得2分，最差者得0分</w:t>
      </w:r>
      <w:r>
        <w:rPr>
          <w:rFonts w:hint="eastAsia" w:ascii="宋体" w:hAnsi="宋体" w:cs="宋体"/>
          <w:kern w:val="0"/>
          <w:sz w:val="24"/>
          <w:highlight w:val="none"/>
        </w:rPr>
        <w:t>。</w:t>
      </w:r>
    </w:p>
    <w:p w14:paraId="7ACC55EC">
      <w:pPr>
        <w:pStyle w:val="2"/>
        <w:numPr>
          <w:ilvl w:val="0"/>
          <w:numId w:val="0"/>
        </w:numPr>
        <w:spacing w:before="91" w:line="219" w:lineRule="auto"/>
        <w:ind w:left="667" w:leftChars="0"/>
        <w:outlineLvl w:val="1"/>
        <w:rPr>
          <w:rFonts w:hint="default" w:ascii="宋体" w:hAnsi="宋体" w:cs="宋体"/>
          <w:kern w:val="0"/>
          <w:sz w:val="24"/>
          <w:highlight w:val="none"/>
          <w:lang w:val="en-US" w:eastAsia="zh-CN"/>
        </w:rPr>
      </w:pPr>
      <w:r>
        <w:rPr>
          <w:rFonts w:hint="eastAsia" w:cs="宋体"/>
          <w:kern w:val="0"/>
          <w:sz w:val="24"/>
          <w:highlight w:val="none"/>
          <w:lang w:val="en-US" w:eastAsia="zh-CN"/>
        </w:rPr>
        <w:t xml:space="preserve">1.6.2 </w:t>
      </w:r>
      <w:r>
        <w:rPr>
          <w:rFonts w:hint="eastAsia" w:ascii="宋体" w:hAnsi="宋体" w:cs="宋体"/>
          <w:kern w:val="0"/>
          <w:sz w:val="24"/>
          <w:highlight w:val="none"/>
        </w:rPr>
        <w:t>交货期（0-</w:t>
      </w:r>
      <w:r>
        <w:rPr>
          <w:rFonts w:hint="eastAsia" w:cs="宋体"/>
          <w:kern w:val="0"/>
          <w:sz w:val="24"/>
          <w:highlight w:val="none"/>
          <w:lang w:val="en-US" w:eastAsia="zh-CN"/>
        </w:rPr>
        <w:t>2</w:t>
      </w:r>
      <w:r>
        <w:rPr>
          <w:rFonts w:hint="eastAsia" w:ascii="宋体" w:hAnsi="宋体" w:cs="宋体"/>
          <w:kern w:val="0"/>
          <w:sz w:val="24"/>
          <w:highlight w:val="none"/>
        </w:rPr>
        <w:t>分）满足合同生效预付款支付后</w:t>
      </w:r>
      <w:r>
        <w:rPr>
          <w:rFonts w:hint="eastAsia" w:cs="宋体"/>
          <w:kern w:val="0"/>
          <w:sz w:val="24"/>
          <w:highlight w:val="none"/>
          <w:lang w:val="en-US" w:eastAsia="zh-CN"/>
        </w:rPr>
        <w:t>9</w:t>
      </w:r>
      <w:r>
        <w:rPr>
          <w:rFonts w:hint="eastAsia" w:ascii="宋体" w:hAnsi="宋体" w:cs="宋体"/>
          <w:kern w:val="0"/>
          <w:sz w:val="24"/>
          <w:highlight w:val="none"/>
        </w:rPr>
        <w:t>个月内到货，得</w:t>
      </w:r>
      <w:r>
        <w:rPr>
          <w:rFonts w:hint="eastAsia" w:cs="宋体"/>
          <w:kern w:val="0"/>
          <w:sz w:val="24"/>
          <w:highlight w:val="none"/>
          <w:lang w:val="en-US" w:eastAsia="zh-CN"/>
        </w:rPr>
        <w:t>2</w:t>
      </w:r>
      <w:r>
        <w:rPr>
          <w:rFonts w:hint="eastAsia" w:ascii="宋体" w:hAnsi="宋体" w:cs="宋体"/>
          <w:kern w:val="0"/>
          <w:sz w:val="24"/>
          <w:highlight w:val="none"/>
        </w:rPr>
        <w:t>分</w:t>
      </w:r>
      <w:r>
        <w:rPr>
          <w:rFonts w:hint="eastAsia" w:cs="宋体"/>
          <w:kern w:val="0"/>
          <w:sz w:val="24"/>
          <w:highlight w:val="none"/>
          <w:lang w:eastAsia="zh-CN"/>
        </w:rPr>
        <w:t>，</w:t>
      </w:r>
      <w:r>
        <w:rPr>
          <w:rFonts w:hint="eastAsia" w:ascii="宋体" w:hAnsi="宋体" w:cs="宋体"/>
          <w:kern w:val="0"/>
          <w:sz w:val="24"/>
          <w:highlight w:val="none"/>
        </w:rPr>
        <w:t>每延迟1个月交货（不满1个月按照1个月计算）扣1分，直至扣完。</w:t>
      </w:r>
    </w:p>
    <w:p w14:paraId="4516BB8B">
      <w:pPr>
        <w:pStyle w:val="2"/>
        <w:numPr>
          <w:ilvl w:val="0"/>
          <w:numId w:val="0"/>
        </w:numPr>
        <w:spacing w:before="91" w:line="219" w:lineRule="auto"/>
        <w:ind w:left="667" w:leftChars="0"/>
        <w:outlineLvl w:val="1"/>
        <w:rPr>
          <w:rFonts w:hint="eastAsia" w:ascii="宋体" w:hAnsi="宋体" w:cs="宋体"/>
          <w:kern w:val="0"/>
          <w:sz w:val="24"/>
          <w:highlight w:val="none"/>
        </w:rPr>
      </w:pPr>
      <w:r>
        <w:rPr>
          <w:rFonts w:hint="eastAsia" w:cs="宋体"/>
          <w:kern w:val="0"/>
          <w:sz w:val="24"/>
          <w:highlight w:val="none"/>
          <w:lang w:val="en-US" w:eastAsia="zh-CN"/>
        </w:rPr>
        <w:t xml:space="preserve">1.6.3 </w:t>
      </w:r>
      <w:r>
        <w:rPr>
          <w:rFonts w:hint="eastAsia" w:ascii="宋体" w:hAnsi="宋体" w:cs="宋体"/>
          <w:kern w:val="0"/>
          <w:sz w:val="24"/>
          <w:highlight w:val="none"/>
        </w:rPr>
        <w:t>业绩（0-</w:t>
      </w:r>
      <w:r>
        <w:rPr>
          <w:rFonts w:hint="eastAsia" w:cs="宋体"/>
          <w:kern w:val="0"/>
          <w:sz w:val="24"/>
          <w:highlight w:val="none"/>
          <w:lang w:val="en-US" w:eastAsia="zh-CN"/>
        </w:rPr>
        <w:t>4</w:t>
      </w:r>
      <w:r>
        <w:rPr>
          <w:rFonts w:hint="eastAsia" w:ascii="宋体" w:hAnsi="宋体" w:cs="宋体"/>
          <w:kern w:val="0"/>
          <w:sz w:val="24"/>
          <w:highlight w:val="none"/>
        </w:rPr>
        <w:t>分）评委根据投标人提供的针对招标人提供的销售业绩进行评分，</w:t>
      </w:r>
      <w:r>
        <w:rPr>
          <w:rFonts w:hint="eastAsia" w:cs="宋体"/>
          <w:kern w:val="0"/>
          <w:sz w:val="24"/>
          <w:highlight w:val="none"/>
          <w:lang w:val="en-US" w:eastAsia="zh-CN"/>
        </w:rPr>
        <w:t>要求投标企业业绩提交不少于5份，基础分3分，</w:t>
      </w:r>
      <w:r>
        <w:rPr>
          <w:rFonts w:hint="eastAsia" w:ascii="宋体" w:hAnsi="宋体" w:cs="宋体"/>
          <w:kern w:val="0"/>
          <w:sz w:val="24"/>
          <w:highlight w:val="none"/>
        </w:rPr>
        <w:t>在满足资格要求的情况下，每多提供一个业绩得</w:t>
      </w:r>
      <w:r>
        <w:rPr>
          <w:rFonts w:hint="eastAsia" w:cs="宋体"/>
          <w:kern w:val="0"/>
          <w:sz w:val="24"/>
          <w:highlight w:val="none"/>
          <w:lang w:val="en-US" w:eastAsia="zh-CN"/>
        </w:rPr>
        <w:t>0.5</w:t>
      </w:r>
      <w:r>
        <w:rPr>
          <w:rFonts w:hint="eastAsia" w:ascii="宋体" w:hAnsi="宋体" w:cs="宋体"/>
          <w:kern w:val="0"/>
          <w:sz w:val="24"/>
          <w:highlight w:val="none"/>
        </w:rPr>
        <w:t>分，满分</w:t>
      </w:r>
      <w:r>
        <w:rPr>
          <w:rFonts w:hint="eastAsia" w:cs="宋体"/>
          <w:kern w:val="0"/>
          <w:sz w:val="24"/>
          <w:highlight w:val="none"/>
          <w:lang w:val="en-US" w:eastAsia="zh-CN"/>
        </w:rPr>
        <w:t>4</w:t>
      </w:r>
      <w:r>
        <w:rPr>
          <w:rFonts w:hint="eastAsia" w:ascii="宋体" w:hAnsi="宋体" w:cs="宋体"/>
          <w:kern w:val="0"/>
          <w:sz w:val="24"/>
          <w:highlight w:val="none"/>
        </w:rPr>
        <w:t>分（业绩要求为近三年国内同类型设备供货业绩，业绩证明必须包括：最终用户出具的该设备验收证书复印件或最终用户签订的合同的首页和尾页复印件）</w:t>
      </w:r>
    </w:p>
    <w:p w14:paraId="4C48C9A9">
      <w:pPr>
        <w:pStyle w:val="2"/>
        <w:spacing w:before="182" w:line="219" w:lineRule="auto"/>
        <w:ind w:left="521"/>
        <w:rPr>
          <w:spacing w:val="-4"/>
        </w:rPr>
      </w:pPr>
    </w:p>
    <w:sectPr>
      <w:footerReference r:id="rId5" w:type="default"/>
      <w:pgSz w:w="11907" w:h="16839"/>
      <w:pgMar w:top="1431" w:right="1714" w:bottom="40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4400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83CF5"/>
    <w:multiLevelType w:val="singleLevel"/>
    <w:tmpl w:val="86483CF5"/>
    <w:lvl w:ilvl="0" w:tentative="0">
      <w:start w:val="1"/>
      <w:numFmt w:val="bullet"/>
      <w:lvlText w:val=""/>
      <w:lvlJc w:val="left"/>
      <w:pPr>
        <w:ind w:left="420" w:hanging="420"/>
      </w:pPr>
      <w:rPr>
        <w:rFonts w:hint="default" w:ascii="Wingdings" w:hAnsi="Wingdings"/>
      </w:rPr>
    </w:lvl>
  </w:abstractNum>
  <w:abstractNum w:abstractNumId="1">
    <w:nsid w:val="A02A77ED"/>
    <w:multiLevelType w:val="singleLevel"/>
    <w:tmpl w:val="A02A77ED"/>
    <w:lvl w:ilvl="0" w:tentative="0">
      <w:start w:val="2"/>
      <w:numFmt w:val="decimal"/>
      <w:lvlText w:val="%1."/>
      <w:lvlJc w:val="left"/>
      <w:pPr>
        <w:tabs>
          <w:tab w:val="left" w:pos="312"/>
        </w:tabs>
      </w:pPr>
    </w:lvl>
  </w:abstractNum>
  <w:abstractNum w:abstractNumId="2">
    <w:nsid w:val="F2439773"/>
    <w:multiLevelType w:val="multilevel"/>
    <w:tmpl w:val="F2439773"/>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3">
    <w:nsid w:val="FA835B4B"/>
    <w:multiLevelType w:val="singleLevel"/>
    <w:tmpl w:val="FA835B4B"/>
    <w:lvl w:ilvl="0" w:tentative="0">
      <w:start w:val="1"/>
      <w:numFmt w:val="decimal"/>
      <w:suff w:val="nothing"/>
      <w:lvlText w:val="%1、"/>
      <w:lvlJc w:val="left"/>
      <w:pPr>
        <w:ind w:left="667" w:leftChars="0" w:firstLine="0" w:firstLineChars="0"/>
      </w:pPr>
    </w:lvl>
  </w:abstractNum>
  <w:abstractNum w:abstractNumId="4">
    <w:nsid w:val="29D7E2F8"/>
    <w:multiLevelType w:val="singleLevel"/>
    <w:tmpl w:val="29D7E2F8"/>
    <w:lvl w:ilvl="0" w:tentative="0">
      <w:start w:val="1"/>
      <w:numFmt w:val="bullet"/>
      <w:lvlText w:val=""/>
      <w:lvlJc w:val="left"/>
      <w:pPr>
        <w:ind w:left="420" w:hanging="420"/>
      </w:pPr>
      <w:rPr>
        <w:rFonts w:hint="default" w:ascii="Wingdings" w:hAnsi="Wingdings"/>
      </w:rPr>
    </w:lvl>
  </w:abstractNum>
  <w:abstractNum w:abstractNumId="5">
    <w:nsid w:val="6A783F39"/>
    <w:multiLevelType w:val="singleLevel"/>
    <w:tmpl w:val="6A783F39"/>
    <w:lvl w:ilvl="0" w:tentative="0">
      <w:start w:val="1"/>
      <w:numFmt w:val="decimal"/>
      <w:lvlText w:val="%1."/>
      <w:lvlJc w:val="left"/>
      <w:pPr>
        <w:ind w:left="425" w:hanging="425"/>
      </w:pPr>
      <w:rPr>
        <w:rFonts w:hint="default"/>
      </w:rPr>
    </w:lvl>
  </w:abstractNum>
  <w:abstractNum w:abstractNumId="6">
    <w:nsid w:val="79711A76"/>
    <w:multiLevelType w:val="singleLevel"/>
    <w:tmpl w:val="79711A76"/>
    <w:lvl w:ilvl="0" w:tentative="0">
      <w:start w:val="1"/>
      <w:numFmt w:val="decimal"/>
      <w:suff w:val="nothing"/>
      <w:lvlText w:val="%1、"/>
      <w:lvlJc w:val="left"/>
    </w:lvl>
  </w:abstractNum>
  <w:num w:numId="1">
    <w:abstractNumId w:val="1"/>
  </w:num>
  <w:num w:numId="2">
    <w:abstractNumId w:val="5"/>
  </w:num>
  <w:num w:numId="3">
    <w:abstractNumId w:val="4"/>
  </w:num>
  <w:num w:numId="4">
    <w:abstractNumId w:val="0"/>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4081872"/>
    <w:rsid w:val="08EE6740"/>
    <w:rsid w:val="0A421E8B"/>
    <w:rsid w:val="0D09497B"/>
    <w:rsid w:val="0D3A1F53"/>
    <w:rsid w:val="0D6B2B13"/>
    <w:rsid w:val="0FD32974"/>
    <w:rsid w:val="12705D8B"/>
    <w:rsid w:val="147E0409"/>
    <w:rsid w:val="204A02A8"/>
    <w:rsid w:val="20515ADA"/>
    <w:rsid w:val="2503246E"/>
    <w:rsid w:val="25E116AE"/>
    <w:rsid w:val="27B70919"/>
    <w:rsid w:val="27D019DA"/>
    <w:rsid w:val="282633E3"/>
    <w:rsid w:val="28A14135"/>
    <w:rsid w:val="2FA379D4"/>
    <w:rsid w:val="30E2477F"/>
    <w:rsid w:val="375241BA"/>
    <w:rsid w:val="3BC60CD2"/>
    <w:rsid w:val="3E9A01F4"/>
    <w:rsid w:val="42B31885"/>
    <w:rsid w:val="431768F9"/>
    <w:rsid w:val="44663FB9"/>
    <w:rsid w:val="45CE2A77"/>
    <w:rsid w:val="473C64C9"/>
    <w:rsid w:val="4F815523"/>
    <w:rsid w:val="50EE69A2"/>
    <w:rsid w:val="526F7606"/>
    <w:rsid w:val="5770170D"/>
    <w:rsid w:val="5FB213EA"/>
    <w:rsid w:val="68355A84"/>
    <w:rsid w:val="68A5776A"/>
    <w:rsid w:val="71254F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ascii="Calibri" w:hAnsi="Calibri" w:cs="Times New Roman"/>
      <w:kern w:val="2"/>
      <w:sz w:val="21"/>
      <w:szCs w:val="22"/>
    </w:rPr>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lang w:val="en-US" w:eastAsia="en-US" w:bidi="ar-SA"/>
    </w:rPr>
  </w:style>
  <w:style w:type="character" w:customStyle="1" w:styleId="9">
    <w:name w:val="font21"/>
    <w:basedOn w:val="6"/>
    <w:qFormat/>
    <w:uiPriority w:val="0"/>
    <w:rPr>
      <w:rFonts w:hint="eastAsia" w:ascii="宋体" w:hAnsi="宋体" w:eastAsia="宋体" w:cs="宋体"/>
      <w:b/>
      <w:bCs/>
      <w:color w:val="000000"/>
      <w:sz w:val="24"/>
      <w:szCs w:val="24"/>
      <w:u w:val="none"/>
    </w:rPr>
  </w:style>
  <w:style w:type="character" w:customStyle="1" w:styleId="10">
    <w:name w:val="font11"/>
    <w:basedOn w:val="6"/>
    <w:qFormat/>
    <w:uiPriority w:val="0"/>
    <w:rPr>
      <w:rFonts w:hint="default" w:ascii="Arial" w:hAnsi="Arial" w:cs="Arial"/>
      <w:b/>
      <w:bCs/>
      <w:color w:val="000000"/>
      <w:sz w:val="24"/>
      <w:szCs w:val="24"/>
      <w:u w:val="none"/>
    </w:rPr>
  </w:style>
  <w:style w:type="character" w:customStyle="1" w:styleId="11">
    <w:name w:val="font41"/>
    <w:basedOn w:val="6"/>
    <w:qFormat/>
    <w:uiPriority w:val="0"/>
    <w:rPr>
      <w:rFonts w:hint="eastAsia" w:ascii="宋体" w:hAnsi="宋体" w:eastAsia="宋体" w:cs="宋体"/>
      <w:color w:val="000000"/>
      <w:sz w:val="16"/>
      <w:szCs w:val="16"/>
      <w:u w:val="none"/>
    </w:rPr>
  </w:style>
  <w:style w:type="character" w:customStyle="1" w:styleId="12">
    <w:name w:val="font61"/>
    <w:basedOn w:val="6"/>
    <w:qFormat/>
    <w:uiPriority w:val="0"/>
    <w:rPr>
      <w:rFonts w:hint="default" w:ascii="Arial" w:hAnsi="Arial" w:cs="Arial"/>
      <w:color w:val="000000"/>
      <w:sz w:val="16"/>
      <w:szCs w:val="16"/>
      <w:u w:val="none"/>
    </w:rPr>
  </w:style>
  <w:style w:type="character" w:customStyle="1" w:styleId="13">
    <w:name w:val="font51"/>
    <w:basedOn w:val="6"/>
    <w:qFormat/>
    <w:uiPriority w:val="0"/>
    <w:rPr>
      <w:rFonts w:hint="default" w:ascii="Arial" w:hAnsi="Arial" w:cs="Arial"/>
      <w:color w:val="FF0000"/>
      <w:sz w:val="16"/>
      <w:szCs w:val="16"/>
      <w:u w:val="none"/>
    </w:rPr>
  </w:style>
  <w:style w:type="character" w:customStyle="1" w:styleId="14">
    <w:name w:val="font91"/>
    <w:basedOn w:val="6"/>
    <w:qFormat/>
    <w:uiPriority w:val="0"/>
    <w:rPr>
      <w:rFonts w:hint="eastAsia" w:ascii="宋体" w:hAnsi="宋体" w:eastAsia="宋体" w:cs="宋体"/>
      <w:color w:val="FF0000"/>
      <w:sz w:val="16"/>
      <w:szCs w:val="16"/>
      <w:u w:val="none"/>
    </w:rPr>
  </w:style>
  <w:style w:type="character" w:customStyle="1" w:styleId="15">
    <w:name w:val="font101"/>
    <w:basedOn w:val="6"/>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1146</Words>
  <Characters>1440</Characters>
  <TotalTime>258</TotalTime>
  <ScaleCrop>false</ScaleCrop>
  <LinksUpToDate>false</LinksUpToDate>
  <CharactersWithSpaces>1522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2022-04-19T15:43:00Z</dcterms:created>
  <dc:creator>Administrator</dc:creator>
  <cp:lastModifiedBy>风飘絮</cp:lastModifiedBy>
  <dcterms:modified xsi:type="dcterms:W3CDTF">2025-01-19T02:37:14Z</dcterms:modified>
  <dc:title>招标邀请函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2024-12-07T08:53:40Z</vt:filetime>
  </property>
  <property fmtid="{D5CDD505-2E9C-101B-9397-08002B2CF9AE}" pid="4" name="KSOProductBuildVer">
    <vt:lpwstr>2052-12.1.0.19770</vt:lpwstr>
  </property>
  <property fmtid="{D5CDD505-2E9C-101B-9397-08002B2CF9AE}" pid="5" name="ICV">
    <vt:lpwstr>8BB7DEE0921A4E51A51BFD9235796417_13</vt:lpwstr>
  </property>
  <property fmtid="{D5CDD505-2E9C-101B-9397-08002B2CF9AE}" pid="6" name="KSOTemplateDocerSaveRecord">
    <vt:lpwstr>eyJoZGlkIjoiM2E1YjA3MzI1NmU0NzRlYzUxMGY4YzZhM2Q5NWRlMjUiLCJ1c2VySWQiOiIzMzkyNjEzMDQifQ==</vt:lpwstr>
  </property>
</Properties>
</file>